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1" w:rightFromText="181" w:vertAnchor="page" w:horzAnchor="margin" w:tblpXSpec="center" w:tblpY="1702"/>
        <w:tblW w:w="10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1548"/>
        <w:gridCol w:w="1127"/>
        <w:gridCol w:w="7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blHeader/>
          <w:jc w:val="center"/>
        </w:trPr>
        <w:tc>
          <w:tcPr>
            <w:tcW w:w="438" w:type="dxa"/>
            <w:vAlign w:val="center"/>
          </w:tcPr>
          <w:p>
            <w:pPr>
              <w:keepNext/>
              <w:keepLines/>
              <w:spacing w:line="360" w:lineRule="auto"/>
              <w:jc w:val="center"/>
              <w:rPr>
                <w:rFonts w:ascii="宋体"/>
                <w:b/>
                <w:szCs w:val="21"/>
              </w:rPr>
            </w:pPr>
            <w:r>
              <w:rPr>
                <w:rFonts w:hint="eastAsia" w:ascii="宋体" w:hAnsi="宋体"/>
                <w:b/>
                <w:szCs w:val="21"/>
              </w:rPr>
              <w:t>序号</w:t>
            </w:r>
          </w:p>
        </w:tc>
        <w:tc>
          <w:tcPr>
            <w:tcW w:w="1548" w:type="dxa"/>
            <w:vAlign w:val="center"/>
          </w:tcPr>
          <w:p>
            <w:pPr>
              <w:keepNext/>
              <w:keepLines/>
              <w:spacing w:line="360" w:lineRule="auto"/>
              <w:jc w:val="center"/>
              <w:rPr>
                <w:rFonts w:ascii="宋体"/>
                <w:b/>
                <w:spacing w:val="-6"/>
                <w:szCs w:val="21"/>
              </w:rPr>
            </w:pPr>
            <w:r>
              <w:rPr>
                <w:rFonts w:hint="eastAsia" w:ascii="宋体" w:hAnsi="宋体"/>
                <w:b/>
                <w:szCs w:val="21"/>
              </w:rPr>
              <w:t>评分要素</w:t>
            </w:r>
          </w:p>
        </w:tc>
        <w:tc>
          <w:tcPr>
            <w:tcW w:w="1127" w:type="dxa"/>
            <w:vAlign w:val="center"/>
          </w:tcPr>
          <w:p>
            <w:pPr>
              <w:keepNext/>
              <w:keepLines/>
              <w:spacing w:line="360" w:lineRule="auto"/>
              <w:jc w:val="center"/>
              <w:rPr>
                <w:rFonts w:ascii="宋体"/>
                <w:b/>
                <w:spacing w:val="-6"/>
                <w:szCs w:val="21"/>
              </w:rPr>
            </w:pPr>
            <w:r>
              <w:rPr>
                <w:rFonts w:hint="eastAsia" w:ascii="宋体" w:hAnsi="宋体"/>
                <w:b/>
                <w:spacing w:val="-6"/>
                <w:szCs w:val="21"/>
              </w:rPr>
              <w:t>分值</w:t>
            </w:r>
          </w:p>
        </w:tc>
        <w:tc>
          <w:tcPr>
            <w:tcW w:w="7024" w:type="dxa"/>
            <w:vAlign w:val="center"/>
          </w:tcPr>
          <w:p>
            <w:pPr>
              <w:keepNext/>
              <w:keepLines/>
              <w:spacing w:line="360" w:lineRule="auto"/>
              <w:jc w:val="center"/>
              <w:rPr>
                <w:rFonts w:ascii="宋体"/>
                <w:b/>
                <w:szCs w:val="21"/>
              </w:rPr>
            </w:pPr>
            <w:r>
              <w:rPr>
                <w:rFonts w:hint="eastAsia" w:ascii="宋体" w:hAnsi="宋体"/>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blHeader/>
          <w:jc w:val="center"/>
        </w:trPr>
        <w:tc>
          <w:tcPr>
            <w:tcW w:w="438" w:type="dxa"/>
            <w:vAlign w:val="center"/>
          </w:tcPr>
          <w:p>
            <w:pPr>
              <w:keepNext/>
              <w:keepLines/>
              <w:spacing w:line="360" w:lineRule="auto"/>
              <w:jc w:val="center"/>
              <w:rPr>
                <w:rFonts w:ascii="宋体"/>
                <w:szCs w:val="21"/>
              </w:rPr>
            </w:pPr>
            <w:r>
              <w:rPr>
                <w:rFonts w:hint="eastAsia" w:ascii="宋体" w:hAnsi="宋体"/>
                <w:szCs w:val="21"/>
              </w:rPr>
              <w:t>一</w:t>
            </w:r>
          </w:p>
        </w:tc>
        <w:tc>
          <w:tcPr>
            <w:tcW w:w="1548" w:type="dxa"/>
            <w:vAlign w:val="center"/>
          </w:tcPr>
          <w:p>
            <w:pPr>
              <w:keepNext/>
              <w:keepLines/>
              <w:spacing w:line="360" w:lineRule="auto"/>
              <w:jc w:val="center"/>
              <w:rPr>
                <w:rFonts w:ascii="宋体"/>
                <w:spacing w:val="-6"/>
                <w:szCs w:val="21"/>
              </w:rPr>
            </w:pPr>
            <w:r>
              <w:rPr>
                <w:rFonts w:hint="eastAsia" w:ascii="宋体" w:hAnsi="宋体"/>
                <w:szCs w:val="21"/>
              </w:rPr>
              <w:t>价格分评审</w:t>
            </w:r>
          </w:p>
        </w:tc>
        <w:tc>
          <w:tcPr>
            <w:tcW w:w="1127" w:type="dxa"/>
            <w:vAlign w:val="center"/>
          </w:tcPr>
          <w:p>
            <w:pPr>
              <w:keepNext/>
              <w:keepLines/>
              <w:spacing w:line="360" w:lineRule="auto"/>
              <w:jc w:val="center"/>
              <w:rPr>
                <w:rFonts w:ascii="宋体"/>
                <w:spacing w:val="-6"/>
                <w:szCs w:val="21"/>
              </w:rPr>
            </w:pPr>
            <w:r>
              <w:rPr>
                <w:rFonts w:ascii="宋体" w:hAnsi="宋体"/>
                <w:spacing w:val="-6"/>
                <w:szCs w:val="21"/>
              </w:rPr>
              <w:t>30</w:t>
            </w:r>
            <w:r>
              <w:rPr>
                <w:rFonts w:hint="eastAsia" w:ascii="宋体" w:hAnsi="宋体"/>
                <w:spacing w:val="-6"/>
                <w:szCs w:val="21"/>
              </w:rPr>
              <w:t>分</w:t>
            </w:r>
          </w:p>
        </w:tc>
        <w:tc>
          <w:tcPr>
            <w:tcW w:w="7024" w:type="dxa"/>
            <w:vAlign w:val="center"/>
          </w:tcPr>
          <w:p>
            <w:pPr>
              <w:keepNext/>
              <w:keepLines/>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blHeader/>
          <w:jc w:val="center"/>
        </w:trPr>
        <w:tc>
          <w:tcPr>
            <w:tcW w:w="438" w:type="dxa"/>
            <w:vAlign w:val="center"/>
          </w:tcPr>
          <w:p>
            <w:pPr>
              <w:keepNext/>
              <w:keepLines/>
              <w:spacing w:line="360" w:lineRule="auto"/>
              <w:jc w:val="center"/>
              <w:rPr>
                <w:rFonts w:ascii="宋体"/>
                <w:szCs w:val="21"/>
              </w:rPr>
            </w:pPr>
            <w:r>
              <w:rPr>
                <w:rFonts w:ascii="宋体" w:hAnsi="宋体"/>
                <w:szCs w:val="21"/>
              </w:rPr>
              <w:t>1</w:t>
            </w:r>
          </w:p>
        </w:tc>
        <w:tc>
          <w:tcPr>
            <w:tcW w:w="1548" w:type="dxa"/>
            <w:vAlign w:val="center"/>
          </w:tcPr>
          <w:p>
            <w:pPr>
              <w:keepNext/>
              <w:keepLines/>
              <w:spacing w:line="360" w:lineRule="auto"/>
              <w:jc w:val="center"/>
              <w:rPr>
                <w:rFonts w:ascii="宋体"/>
                <w:spacing w:val="-6"/>
                <w:szCs w:val="21"/>
              </w:rPr>
            </w:pPr>
            <w:r>
              <w:rPr>
                <w:rFonts w:hint="eastAsia" w:ascii="宋体" w:hAnsi="宋体"/>
                <w:szCs w:val="21"/>
              </w:rPr>
              <w:t>投标报价</w:t>
            </w:r>
          </w:p>
        </w:tc>
        <w:tc>
          <w:tcPr>
            <w:tcW w:w="1127" w:type="dxa"/>
            <w:vAlign w:val="center"/>
          </w:tcPr>
          <w:p>
            <w:pPr>
              <w:keepNext/>
              <w:keepLines/>
              <w:spacing w:line="360" w:lineRule="auto"/>
              <w:jc w:val="center"/>
              <w:rPr>
                <w:rFonts w:ascii="宋体"/>
                <w:spacing w:val="-6"/>
                <w:szCs w:val="21"/>
              </w:rPr>
            </w:pPr>
            <w:r>
              <w:rPr>
                <w:rFonts w:ascii="宋体" w:hAnsi="宋体"/>
                <w:spacing w:val="-6"/>
                <w:szCs w:val="21"/>
              </w:rPr>
              <w:t>30</w:t>
            </w:r>
            <w:r>
              <w:rPr>
                <w:rFonts w:hint="eastAsia" w:ascii="宋体" w:hAnsi="宋体"/>
                <w:spacing w:val="-6"/>
                <w:szCs w:val="21"/>
              </w:rPr>
              <w:t>分</w:t>
            </w:r>
          </w:p>
        </w:tc>
        <w:tc>
          <w:tcPr>
            <w:tcW w:w="7024" w:type="dxa"/>
            <w:vAlign w:val="center"/>
          </w:tcPr>
          <w:p>
            <w:pPr>
              <w:keepNext/>
              <w:keepLines/>
              <w:jc w:val="left"/>
              <w:rPr>
                <w:rFonts w:ascii="宋体"/>
                <w:szCs w:val="21"/>
              </w:rPr>
            </w:pPr>
            <w:r>
              <w:rPr>
                <w:rFonts w:hint="eastAsia" w:ascii="宋体" w:hAnsi="宋体"/>
                <w:szCs w:val="21"/>
              </w:rPr>
              <w:t>经评审满足招标文件要求且投标价格最低的投标报价为评标基准价，其价格分为满分（</w:t>
            </w:r>
            <w:r>
              <w:rPr>
                <w:rFonts w:ascii="宋体" w:hAnsi="宋体"/>
                <w:szCs w:val="21"/>
              </w:rPr>
              <w:t>30</w:t>
            </w:r>
            <w:r>
              <w:rPr>
                <w:rFonts w:hint="eastAsia" w:ascii="宋体" w:hAnsi="宋体"/>
                <w:szCs w:val="21"/>
              </w:rPr>
              <w:t>分）。其他报价得分按：</w:t>
            </w:r>
          </w:p>
          <w:p>
            <w:pPr>
              <w:keepNext/>
              <w:keepLines/>
              <w:jc w:val="left"/>
              <w:rPr>
                <w:rFonts w:ascii="宋体"/>
                <w:szCs w:val="21"/>
              </w:rPr>
            </w:pPr>
            <w:r>
              <w:rPr>
                <w:rFonts w:hint="eastAsia" w:ascii="宋体" w:hAnsi="宋体"/>
                <w:szCs w:val="21"/>
              </w:rPr>
              <w:t>投标报价得分＝（评标基准价</w:t>
            </w:r>
            <w:r>
              <w:rPr>
                <w:rFonts w:ascii="宋体" w:hAnsi="宋体"/>
                <w:szCs w:val="21"/>
              </w:rPr>
              <w:t>/</w:t>
            </w:r>
            <w:r>
              <w:rPr>
                <w:rFonts w:hint="eastAsia" w:ascii="宋体" w:hAnsi="宋体"/>
                <w:szCs w:val="21"/>
              </w:rPr>
              <w:t>投标报价）×价格权重（</w:t>
            </w:r>
            <w:r>
              <w:rPr>
                <w:rFonts w:ascii="宋体" w:hAnsi="宋体"/>
                <w:szCs w:val="21"/>
              </w:rPr>
              <w:t>30%</w:t>
            </w:r>
            <w:r>
              <w:rPr>
                <w:rFonts w:hint="eastAsia" w:ascii="宋体" w:hAnsi="宋体"/>
                <w:szCs w:val="21"/>
              </w:rPr>
              <w:t>）×</w:t>
            </w:r>
            <w:r>
              <w:rPr>
                <w:rFonts w:ascii="宋体" w:hAnsi="宋体"/>
                <w:szCs w:val="21"/>
              </w:rPr>
              <w:t>100</w:t>
            </w:r>
            <w:r>
              <w:rPr>
                <w:rFonts w:hint="eastAsia" w:ascii="宋体" w:hAnsi="宋体"/>
                <w:szCs w:val="21"/>
              </w:rPr>
              <w:t>。（小数点后保留</w:t>
            </w:r>
            <w:r>
              <w:rPr>
                <w:rFonts w:ascii="宋体" w:hAnsi="宋体"/>
                <w:szCs w:val="21"/>
              </w:rPr>
              <w:t>2</w:t>
            </w:r>
            <w:r>
              <w:rPr>
                <w:rFonts w:hint="eastAsia" w:ascii="宋体" w:hAnsi="宋体"/>
                <w:szCs w:val="21"/>
              </w:rPr>
              <w:t>位小数，第</w:t>
            </w:r>
            <w:r>
              <w:rPr>
                <w:rFonts w:ascii="宋体" w:hAnsi="宋体"/>
                <w:szCs w:val="21"/>
              </w:rPr>
              <w:t>3</w:t>
            </w:r>
            <w:r>
              <w:rPr>
                <w:rFonts w:hint="eastAsia" w:ascii="宋体" w:hAnsi="宋体"/>
                <w:szCs w:val="21"/>
              </w:rPr>
              <w:t>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blHeader/>
          <w:jc w:val="center"/>
        </w:trPr>
        <w:tc>
          <w:tcPr>
            <w:tcW w:w="438" w:type="dxa"/>
            <w:vAlign w:val="center"/>
          </w:tcPr>
          <w:p>
            <w:pPr>
              <w:keepNext/>
              <w:keepLines/>
              <w:spacing w:line="360" w:lineRule="auto"/>
              <w:jc w:val="center"/>
              <w:rPr>
                <w:rFonts w:ascii="宋体"/>
                <w:szCs w:val="21"/>
              </w:rPr>
            </w:pPr>
            <w:r>
              <w:rPr>
                <w:rFonts w:hint="eastAsia" w:ascii="宋体" w:hAnsi="宋体"/>
                <w:szCs w:val="21"/>
              </w:rPr>
              <w:t>二</w:t>
            </w:r>
          </w:p>
        </w:tc>
        <w:tc>
          <w:tcPr>
            <w:tcW w:w="1548" w:type="dxa"/>
            <w:vAlign w:val="center"/>
          </w:tcPr>
          <w:p>
            <w:pPr>
              <w:keepNext/>
              <w:keepLines/>
              <w:spacing w:line="360" w:lineRule="auto"/>
              <w:jc w:val="center"/>
              <w:rPr>
                <w:rFonts w:ascii="宋体"/>
                <w:spacing w:val="-6"/>
                <w:szCs w:val="21"/>
              </w:rPr>
            </w:pPr>
            <w:r>
              <w:rPr>
                <w:rFonts w:hint="eastAsia" w:ascii="宋体" w:hAnsi="宋体"/>
                <w:szCs w:val="21"/>
              </w:rPr>
              <w:t>技术资信评审</w:t>
            </w:r>
          </w:p>
        </w:tc>
        <w:tc>
          <w:tcPr>
            <w:tcW w:w="1127" w:type="dxa"/>
            <w:vAlign w:val="center"/>
          </w:tcPr>
          <w:p>
            <w:pPr>
              <w:keepNext/>
              <w:keepLines/>
              <w:spacing w:line="360" w:lineRule="auto"/>
              <w:jc w:val="center"/>
              <w:rPr>
                <w:rFonts w:ascii="宋体"/>
                <w:spacing w:val="-6"/>
                <w:szCs w:val="21"/>
              </w:rPr>
            </w:pPr>
            <w:r>
              <w:rPr>
                <w:rFonts w:ascii="宋体" w:hAnsi="宋体"/>
                <w:spacing w:val="-6"/>
                <w:szCs w:val="21"/>
              </w:rPr>
              <w:t>70</w:t>
            </w:r>
            <w:r>
              <w:rPr>
                <w:rFonts w:hint="eastAsia" w:ascii="宋体" w:hAnsi="宋体"/>
                <w:spacing w:val="-6"/>
                <w:szCs w:val="21"/>
              </w:rPr>
              <w:t>分</w:t>
            </w:r>
          </w:p>
        </w:tc>
        <w:tc>
          <w:tcPr>
            <w:tcW w:w="7024" w:type="dxa"/>
            <w:vAlign w:val="center"/>
          </w:tcPr>
          <w:p>
            <w:pPr>
              <w:keepNext/>
              <w:keepLines/>
              <w:spacing w:line="360" w:lineRule="auto"/>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3" w:hRule="atLeast"/>
          <w:tblHeader/>
          <w:jc w:val="center"/>
        </w:trPr>
        <w:tc>
          <w:tcPr>
            <w:tcW w:w="438" w:type="dxa"/>
            <w:vAlign w:val="center"/>
          </w:tcPr>
          <w:p>
            <w:pPr>
              <w:keepNext/>
              <w:keepLines/>
              <w:spacing w:line="360" w:lineRule="auto"/>
              <w:jc w:val="center"/>
              <w:rPr>
                <w:rFonts w:ascii="宋体"/>
                <w:szCs w:val="21"/>
              </w:rPr>
            </w:pPr>
            <w:r>
              <w:rPr>
                <w:rFonts w:ascii="宋体" w:hAnsi="宋体"/>
                <w:szCs w:val="21"/>
              </w:rPr>
              <w:t>1</w:t>
            </w:r>
          </w:p>
        </w:tc>
        <w:tc>
          <w:tcPr>
            <w:tcW w:w="1548" w:type="dxa"/>
            <w:vAlign w:val="center"/>
          </w:tcPr>
          <w:p>
            <w:pPr>
              <w:keepNext/>
              <w:keepLines/>
              <w:spacing w:line="360" w:lineRule="auto"/>
              <w:jc w:val="center"/>
              <w:rPr>
                <w:rFonts w:ascii="宋体"/>
                <w:spacing w:val="-6"/>
                <w:szCs w:val="21"/>
              </w:rPr>
            </w:pPr>
            <w:r>
              <w:rPr>
                <w:rFonts w:hint="eastAsia" w:ascii="宋体" w:hAnsi="宋体"/>
                <w:szCs w:val="21"/>
              </w:rPr>
              <w:t>货物品质参数</w:t>
            </w:r>
          </w:p>
        </w:tc>
        <w:tc>
          <w:tcPr>
            <w:tcW w:w="1127" w:type="dxa"/>
            <w:vAlign w:val="center"/>
          </w:tcPr>
          <w:p>
            <w:pPr>
              <w:keepNext/>
              <w:keepLines/>
              <w:spacing w:line="360" w:lineRule="auto"/>
              <w:jc w:val="center"/>
              <w:rPr>
                <w:rFonts w:ascii="宋体"/>
                <w:spacing w:val="-6"/>
                <w:szCs w:val="21"/>
              </w:rPr>
            </w:pPr>
            <w:r>
              <w:rPr>
                <w:rFonts w:ascii="宋体" w:hAnsi="宋体"/>
                <w:spacing w:val="-6"/>
                <w:szCs w:val="21"/>
              </w:rPr>
              <w:t>45</w:t>
            </w:r>
            <w:r>
              <w:rPr>
                <w:rFonts w:hint="eastAsia" w:ascii="宋体" w:hAnsi="宋体"/>
                <w:spacing w:val="-6"/>
                <w:szCs w:val="21"/>
              </w:rPr>
              <w:t>分</w:t>
            </w:r>
          </w:p>
        </w:tc>
        <w:tc>
          <w:tcPr>
            <w:tcW w:w="7024" w:type="dxa"/>
            <w:vAlign w:val="top"/>
          </w:tcPr>
          <w:p>
            <w:pPr>
              <w:keepNext/>
              <w:keepLines/>
              <w:ind w:right="76" w:rightChars="36"/>
              <w:jc w:val="both"/>
              <w:rPr>
                <w:rFonts w:ascii="宋体"/>
                <w:szCs w:val="21"/>
              </w:rPr>
            </w:pPr>
            <w:r>
              <w:rPr>
                <w:rFonts w:hint="eastAsia" w:ascii="宋体" w:hAnsi="宋体"/>
                <w:szCs w:val="21"/>
                <w:lang w:val="en-US" w:eastAsia="zh-CN"/>
              </w:rPr>
              <w:t>1</w:t>
            </w:r>
            <w:r>
              <w:rPr>
                <w:rFonts w:hint="eastAsia" w:ascii="宋体" w:hAnsi="宋体"/>
                <w:szCs w:val="21"/>
              </w:rPr>
              <w:t>、综合比较供应商所报产品的品牌、品质、性能，最好的得</w:t>
            </w:r>
            <w:r>
              <w:rPr>
                <w:rFonts w:ascii="宋体" w:hAnsi="宋体"/>
                <w:szCs w:val="21"/>
              </w:rPr>
              <w:t xml:space="preserve"> 5</w:t>
            </w:r>
            <w:r>
              <w:rPr>
                <w:rFonts w:hint="eastAsia" w:ascii="宋体" w:hAnsi="宋体"/>
                <w:szCs w:val="21"/>
              </w:rPr>
              <w:t>分，较好的得</w:t>
            </w:r>
            <w:r>
              <w:rPr>
                <w:rFonts w:ascii="宋体" w:hAnsi="宋体"/>
                <w:szCs w:val="21"/>
              </w:rPr>
              <w:t xml:space="preserve">2 </w:t>
            </w:r>
            <w:r>
              <w:rPr>
                <w:rFonts w:hint="eastAsia" w:ascii="宋体" w:hAnsi="宋体"/>
                <w:szCs w:val="21"/>
              </w:rPr>
              <w:t>分，一般的得</w:t>
            </w:r>
            <w:r>
              <w:rPr>
                <w:rFonts w:ascii="宋体" w:hAnsi="宋体"/>
                <w:szCs w:val="21"/>
              </w:rPr>
              <w:t xml:space="preserve"> 1</w:t>
            </w:r>
            <w:r>
              <w:rPr>
                <w:rFonts w:hint="eastAsia" w:ascii="宋体" w:hAnsi="宋体"/>
                <w:szCs w:val="21"/>
              </w:rPr>
              <w:t>分。</w:t>
            </w:r>
            <w:r>
              <w:rPr>
                <w:rFonts w:ascii="宋体" w:hAnsi="宋体"/>
                <w:szCs w:val="21"/>
              </w:rPr>
              <w:t xml:space="preserve"> </w:t>
            </w:r>
          </w:p>
          <w:p>
            <w:pPr>
              <w:keepNext/>
              <w:keepLines/>
              <w:ind w:right="76" w:rightChars="36"/>
              <w:jc w:val="both"/>
              <w:rPr>
                <w:rFonts w:ascii="宋体"/>
                <w:b/>
                <w:szCs w:val="21"/>
              </w:rPr>
            </w:pPr>
            <w:r>
              <w:rPr>
                <w:rFonts w:hint="eastAsia" w:ascii="宋体" w:hAnsi="宋体"/>
                <w:b/>
                <w:szCs w:val="21"/>
              </w:rPr>
              <w:t>注：评委会在评审前，按记名表决方式、少数服从多数的原则对货物的品牌、品质、配置、性能综合评比进行档次划分。所投货物的品牌、品质、性能技术标投标文件中须提供相关技术支持性文件扫描件或影印件。</w:t>
            </w:r>
            <w:r>
              <w:rPr>
                <w:rFonts w:ascii="宋体" w:hAnsi="宋体"/>
                <w:b/>
                <w:szCs w:val="21"/>
              </w:rPr>
              <w:t xml:space="preserve"> </w:t>
            </w:r>
          </w:p>
          <w:p>
            <w:pPr>
              <w:keepNext/>
              <w:keepLines/>
              <w:ind w:right="76" w:rightChars="36"/>
              <w:jc w:val="both"/>
              <w:rPr>
                <w:rFonts w:ascii="宋体"/>
                <w:szCs w:val="21"/>
              </w:rPr>
            </w:pPr>
            <w:r>
              <w:rPr>
                <w:rFonts w:ascii="宋体" w:hAnsi="宋体"/>
                <w:szCs w:val="21"/>
              </w:rPr>
              <w:t>2</w:t>
            </w:r>
            <w:r>
              <w:rPr>
                <w:rFonts w:hint="eastAsia" w:ascii="宋体" w:hAnsi="宋体"/>
                <w:szCs w:val="21"/>
              </w:rPr>
              <w:t>、综合比较供应商所报产品产品易用、及可操作性最高的得</w:t>
            </w:r>
            <w:r>
              <w:rPr>
                <w:rFonts w:ascii="宋体" w:hAnsi="宋体"/>
                <w:szCs w:val="21"/>
              </w:rPr>
              <w:t xml:space="preserve"> 5 </w:t>
            </w:r>
            <w:r>
              <w:rPr>
                <w:rFonts w:hint="eastAsia" w:ascii="宋体" w:hAnsi="宋体"/>
                <w:szCs w:val="21"/>
              </w:rPr>
              <w:t>分，较高的得</w:t>
            </w:r>
            <w:r>
              <w:rPr>
                <w:rFonts w:ascii="宋体" w:hAnsi="宋体"/>
                <w:szCs w:val="21"/>
              </w:rPr>
              <w:t xml:space="preserve">2 </w:t>
            </w:r>
            <w:r>
              <w:rPr>
                <w:rFonts w:hint="eastAsia" w:ascii="宋体" w:hAnsi="宋体"/>
                <w:szCs w:val="21"/>
              </w:rPr>
              <w:t>分，一般的得</w:t>
            </w:r>
            <w:r>
              <w:rPr>
                <w:rFonts w:ascii="宋体" w:hAnsi="宋体"/>
                <w:szCs w:val="21"/>
              </w:rPr>
              <w:t xml:space="preserve"> 1 </w:t>
            </w:r>
            <w:r>
              <w:rPr>
                <w:rFonts w:hint="eastAsia" w:ascii="宋体" w:hAnsi="宋体"/>
                <w:szCs w:val="21"/>
              </w:rPr>
              <w:t>分。</w:t>
            </w:r>
            <w:r>
              <w:rPr>
                <w:rFonts w:ascii="宋体" w:hAnsi="宋体"/>
                <w:szCs w:val="21"/>
              </w:rPr>
              <w:t xml:space="preserve"> </w:t>
            </w:r>
          </w:p>
          <w:p>
            <w:pPr>
              <w:keepNext/>
              <w:keepLines/>
              <w:ind w:right="76" w:rightChars="36"/>
              <w:jc w:val="both"/>
              <w:rPr>
                <w:rFonts w:ascii="宋体"/>
                <w:szCs w:val="21"/>
              </w:rPr>
            </w:pPr>
            <w:r>
              <w:rPr>
                <w:rFonts w:ascii="宋体" w:hAnsi="宋体"/>
                <w:szCs w:val="21"/>
              </w:rPr>
              <w:t>3</w:t>
            </w:r>
            <w:r>
              <w:rPr>
                <w:rFonts w:hint="eastAsia" w:ascii="宋体" w:hAnsi="宋体"/>
                <w:szCs w:val="21"/>
              </w:rPr>
              <w:t>、综合比较供应商所报产品技术先进合理性，最好的得</w:t>
            </w:r>
            <w:r>
              <w:rPr>
                <w:rFonts w:ascii="宋体" w:hAnsi="宋体"/>
                <w:szCs w:val="21"/>
              </w:rPr>
              <w:t xml:space="preserve"> 5</w:t>
            </w:r>
            <w:r>
              <w:rPr>
                <w:rFonts w:hint="eastAsia" w:ascii="宋体" w:hAnsi="宋体"/>
                <w:szCs w:val="21"/>
              </w:rPr>
              <w:t>分，较好的得</w:t>
            </w:r>
            <w:r>
              <w:rPr>
                <w:rFonts w:ascii="宋体" w:hAnsi="宋体"/>
                <w:szCs w:val="21"/>
              </w:rPr>
              <w:t xml:space="preserve"> 2 </w:t>
            </w:r>
            <w:r>
              <w:rPr>
                <w:rFonts w:hint="eastAsia" w:ascii="宋体" w:hAnsi="宋体"/>
                <w:szCs w:val="21"/>
              </w:rPr>
              <w:t>分，一般的得</w:t>
            </w:r>
            <w:r>
              <w:rPr>
                <w:rFonts w:ascii="宋体" w:hAnsi="宋体"/>
                <w:szCs w:val="21"/>
              </w:rPr>
              <w:t xml:space="preserve"> 1 </w:t>
            </w:r>
            <w:r>
              <w:rPr>
                <w:rFonts w:hint="eastAsia" w:ascii="宋体" w:hAnsi="宋体"/>
                <w:szCs w:val="21"/>
              </w:rPr>
              <w:t>分。</w:t>
            </w:r>
            <w:r>
              <w:rPr>
                <w:rFonts w:ascii="宋体" w:hAnsi="宋体"/>
                <w:szCs w:val="21"/>
              </w:rPr>
              <w:t xml:space="preserve"> </w:t>
            </w:r>
          </w:p>
          <w:p>
            <w:pPr>
              <w:keepNext/>
              <w:keepLines/>
              <w:ind w:right="76" w:rightChars="36"/>
              <w:jc w:val="both"/>
              <w:rPr>
                <w:rFonts w:ascii="宋体"/>
                <w:b/>
                <w:szCs w:val="21"/>
              </w:rPr>
            </w:pPr>
            <w:r>
              <w:rPr>
                <w:rFonts w:hint="eastAsia" w:ascii="宋体" w:hAnsi="宋体"/>
                <w:b/>
                <w:szCs w:val="21"/>
              </w:rPr>
              <w:t>注：以上</w:t>
            </w:r>
            <w:r>
              <w:rPr>
                <w:rFonts w:ascii="宋体" w:hAnsi="宋体"/>
                <w:b/>
                <w:szCs w:val="21"/>
              </w:rPr>
              <w:t xml:space="preserve"> 2</w:t>
            </w:r>
            <w:r>
              <w:rPr>
                <w:rFonts w:hint="eastAsia" w:ascii="宋体" w:hAnsi="宋体"/>
                <w:b/>
                <w:szCs w:val="21"/>
              </w:rPr>
              <w:t>、</w:t>
            </w:r>
            <w:r>
              <w:rPr>
                <w:rFonts w:ascii="宋体" w:hAnsi="宋体"/>
                <w:b/>
                <w:szCs w:val="21"/>
              </w:rPr>
              <w:t xml:space="preserve">3 </w:t>
            </w:r>
            <w:r>
              <w:rPr>
                <w:rFonts w:hint="eastAsia" w:ascii="宋体" w:hAnsi="宋体"/>
                <w:b/>
                <w:szCs w:val="21"/>
              </w:rPr>
              <w:t>项评委会按照供应商在技术标投标文件中提供的相关证明材料进行分档。未提供、提供不实或无法证实的不在优、良档内评分。</w:t>
            </w:r>
            <w:r>
              <w:rPr>
                <w:rFonts w:ascii="宋体" w:hAnsi="宋体"/>
                <w:b/>
                <w:szCs w:val="21"/>
              </w:rPr>
              <w:t xml:space="preserve"> </w:t>
            </w:r>
          </w:p>
          <w:p>
            <w:pPr>
              <w:keepNext/>
              <w:keepLines/>
              <w:ind w:right="76" w:rightChars="36"/>
              <w:jc w:val="both"/>
              <w:rPr>
                <w:rFonts w:ascii="宋体"/>
                <w:szCs w:val="21"/>
              </w:rPr>
            </w:pPr>
            <w:r>
              <w:rPr>
                <w:rFonts w:ascii="宋体" w:hAnsi="宋体"/>
                <w:szCs w:val="21"/>
              </w:rPr>
              <w:t>4</w:t>
            </w:r>
            <w:r>
              <w:rPr>
                <w:rFonts w:hint="eastAsia" w:ascii="宋体" w:hAnsi="宋体"/>
                <w:szCs w:val="21"/>
              </w:rPr>
              <w:t>、技术参数、功能配置基本满足招标文件要求得基准分</w:t>
            </w:r>
            <w:r>
              <w:rPr>
                <w:rFonts w:ascii="宋体" w:hAnsi="宋体"/>
                <w:szCs w:val="21"/>
              </w:rPr>
              <w:t>30</w:t>
            </w:r>
            <w:r>
              <w:rPr>
                <w:rFonts w:hint="eastAsia" w:ascii="宋体" w:hAnsi="宋体"/>
                <w:szCs w:val="21"/>
              </w:rPr>
              <w:t>分。非★参数若有负偏离，则在基准分基础上扣</w:t>
            </w:r>
            <w:r>
              <w:rPr>
                <w:rFonts w:ascii="宋体" w:hAnsi="宋体"/>
                <w:szCs w:val="21"/>
              </w:rPr>
              <w:t xml:space="preserve"> </w:t>
            </w:r>
            <w:r>
              <w:rPr>
                <w:rFonts w:ascii="宋体" w:hAnsi="宋体"/>
                <w:szCs w:val="21"/>
                <w:lang w:val="en-US"/>
              </w:rPr>
              <w:t>3</w:t>
            </w:r>
            <w:r>
              <w:rPr>
                <w:rFonts w:hint="eastAsia" w:ascii="宋体" w:hAnsi="宋体"/>
                <w:szCs w:val="21"/>
              </w:rPr>
              <w:t>分</w:t>
            </w:r>
            <w:r>
              <w:rPr>
                <w:rFonts w:ascii="宋体" w:hAnsi="宋体"/>
                <w:szCs w:val="21"/>
              </w:rPr>
              <w:t>/</w:t>
            </w:r>
            <w:r>
              <w:rPr>
                <w:rFonts w:hint="eastAsia" w:ascii="宋体" w:hAnsi="宋体"/>
                <w:szCs w:val="21"/>
              </w:rPr>
              <w:t>项；</w:t>
            </w:r>
            <w:r>
              <w:rPr>
                <w:rFonts w:hint="default" w:ascii="宋体" w:hAnsi="宋体"/>
                <w:szCs w:val="21"/>
                <w:lang w:val="en-US"/>
              </w:rPr>
              <w:t>无正规厂家授权文件责在基础分上扣5分/项，</w:t>
            </w:r>
            <w:r>
              <w:rPr>
                <w:rFonts w:hint="eastAsia" w:ascii="宋体" w:hAnsi="宋体"/>
                <w:szCs w:val="21"/>
              </w:rPr>
              <w:t>扣完</w:t>
            </w:r>
            <w:r>
              <w:rPr>
                <w:rFonts w:ascii="宋体" w:hAnsi="宋体"/>
                <w:szCs w:val="21"/>
              </w:rPr>
              <w:t>30</w:t>
            </w:r>
            <w:r>
              <w:rPr>
                <w:rFonts w:hint="eastAsia" w:ascii="宋体" w:hAnsi="宋体"/>
                <w:szCs w:val="21"/>
              </w:rPr>
              <w:t>分为止。</w:t>
            </w:r>
            <w:r>
              <w:rPr>
                <w:rFonts w:ascii="宋体" w:hAnsi="宋体"/>
                <w:szCs w:val="21"/>
              </w:rPr>
              <w:t xml:space="preserve"> </w:t>
            </w:r>
          </w:p>
          <w:p>
            <w:pPr>
              <w:keepNext/>
              <w:keepLines/>
              <w:ind w:right="76" w:rightChars="36"/>
              <w:jc w:val="both"/>
              <w:rPr>
                <w:rFonts w:ascii="宋体"/>
                <w:b/>
                <w:szCs w:val="21"/>
              </w:rPr>
            </w:pPr>
            <w:r>
              <w:rPr>
                <w:rFonts w:hint="eastAsia" w:ascii="宋体" w:hAnsi="宋体"/>
                <w:b/>
                <w:szCs w:val="21"/>
              </w:rPr>
              <w:t>注：</w:t>
            </w:r>
            <w:r>
              <w:rPr>
                <w:rFonts w:ascii="宋体" w:hAnsi="宋体"/>
                <w:b/>
                <w:szCs w:val="21"/>
              </w:rPr>
              <w:t>1</w:t>
            </w:r>
            <w:r>
              <w:rPr>
                <w:rFonts w:hint="eastAsia" w:ascii="宋体" w:hAnsi="宋体"/>
                <w:b/>
                <w:szCs w:val="21"/>
              </w:rPr>
              <w:t>、货物的参数同时以招标文件中提供的原厂商正式发布的商用产品彩页、产品检测报告、相关证书等相关证明材料为依据，所投产品技术参数必须与其提供的证明材料内容完全一致，未按以上要求提供证明材料的或证明材料无法证实的均按负偏离进行扣分。如若有虚假提供证明材料的按废标处理，并予以一定的处罚。</w:t>
            </w:r>
            <w:r>
              <w:rPr>
                <w:rFonts w:ascii="宋体" w:hAnsi="宋体"/>
                <w:b/>
                <w:szCs w:val="21"/>
              </w:rPr>
              <w:t xml:space="preserve"> </w:t>
            </w:r>
          </w:p>
          <w:p>
            <w:pPr>
              <w:keepNext/>
              <w:keepLines/>
              <w:ind w:right="76" w:rightChars="36"/>
              <w:jc w:val="both"/>
              <w:rPr>
                <w:rFonts w:ascii="宋体"/>
                <w:szCs w:val="21"/>
              </w:rPr>
            </w:pPr>
            <w:r>
              <w:rPr>
                <w:rFonts w:ascii="宋体" w:hAnsi="宋体"/>
                <w:b/>
                <w:szCs w:val="21"/>
              </w:rPr>
              <w:t>2</w:t>
            </w:r>
            <w:r>
              <w:rPr>
                <w:rFonts w:hint="eastAsia" w:ascii="宋体" w:hAnsi="宋体"/>
                <w:b/>
                <w:szCs w:val="21"/>
              </w:rPr>
              <w:t>、★参数有负偏离，本项均不得分</w:t>
            </w:r>
            <w:r>
              <w:rPr>
                <w:rFonts w:hint="default" w:ascii="宋体" w:hAnsi="宋体"/>
                <w:b/>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blHeader/>
          <w:jc w:val="center"/>
        </w:trPr>
        <w:tc>
          <w:tcPr>
            <w:tcW w:w="438" w:type="dxa"/>
            <w:vAlign w:val="center"/>
          </w:tcPr>
          <w:p>
            <w:pPr>
              <w:keepNext/>
              <w:keepLines/>
              <w:spacing w:line="360" w:lineRule="auto"/>
              <w:jc w:val="center"/>
              <w:rPr>
                <w:rFonts w:ascii="宋体"/>
                <w:szCs w:val="21"/>
              </w:rPr>
            </w:pPr>
            <w:r>
              <w:rPr>
                <w:rFonts w:ascii="宋体" w:hAnsi="宋体"/>
                <w:szCs w:val="21"/>
              </w:rPr>
              <w:t>2</w:t>
            </w:r>
          </w:p>
        </w:tc>
        <w:tc>
          <w:tcPr>
            <w:tcW w:w="1548" w:type="dxa"/>
            <w:vAlign w:val="center"/>
          </w:tcPr>
          <w:p>
            <w:pPr>
              <w:keepNext/>
              <w:keepLines/>
              <w:spacing w:line="360" w:lineRule="auto"/>
              <w:jc w:val="center"/>
              <w:rPr>
                <w:rFonts w:ascii="宋体"/>
                <w:szCs w:val="21"/>
              </w:rPr>
            </w:pPr>
            <w:r>
              <w:rPr>
                <w:rFonts w:hint="eastAsia" w:ascii="宋体" w:hAnsi="宋体"/>
                <w:szCs w:val="21"/>
              </w:rPr>
              <w:t>企业业绩</w:t>
            </w:r>
          </w:p>
        </w:tc>
        <w:tc>
          <w:tcPr>
            <w:tcW w:w="1127" w:type="dxa"/>
            <w:vAlign w:val="center"/>
          </w:tcPr>
          <w:p>
            <w:pPr>
              <w:keepNext/>
              <w:keepLines/>
              <w:spacing w:line="360" w:lineRule="auto"/>
              <w:jc w:val="center"/>
              <w:rPr>
                <w:rFonts w:ascii="宋体"/>
                <w:szCs w:val="21"/>
              </w:rPr>
            </w:pPr>
            <w:r>
              <w:rPr>
                <w:rFonts w:ascii="宋体" w:hAnsi="宋体"/>
                <w:szCs w:val="21"/>
              </w:rPr>
              <w:t>10</w:t>
            </w:r>
            <w:r>
              <w:rPr>
                <w:rFonts w:hint="eastAsia" w:ascii="宋体" w:hAnsi="宋体"/>
                <w:szCs w:val="21"/>
              </w:rPr>
              <w:t>分</w:t>
            </w:r>
            <w:bookmarkStart w:id="0" w:name="_GoBack"/>
            <w:bookmarkEnd w:id="0"/>
          </w:p>
        </w:tc>
        <w:tc>
          <w:tcPr>
            <w:tcW w:w="7024" w:type="dxa"/>
            <w:vAlign w:val="center"/>
          </w:tcPr>
          <w:p>
            <w:pPr>
              <w:keepNext/>
              <w:keepLines/>
              <w:widowControl/>
              <w:jc w:val="left"/>
              <w:rPr>
                <w:rFonts w:ascii="宋体"/>
                <w:szCs w:val="21"/>
              </w:rPr>
            </w:pPr>
            <w:r>
              <w:rPr>
                <w:rFonts w:hint="eastAsia" w:ascii="宋体" w:hAnsi="宋体"/>
                <w:szCs w:val="21"/>
              </w:rPr>
              <w:t>近三年来（</w:t>
            </w:r>
            <w:r>
              <w:rPr>
                <w:rFonts w:ascii="宋体" w:hAnsi="宋体"/>
                <w:szCs w:val="21"/>
              </w:rPr>
              <w:t>2016</w:t>
            </w:r>
            <w:r>
              <w:rPr>
                <w:rFonts w:hint="eastAsia" w:ascii="宋体" w:hAnsi="宋体"/>
                <w:szCs w:val="21"/>
              </w:rPr>
              <w:t>年</w:t>
            </w:r>
            <w:r>
              <w:rPr>
                <w:rFonts w:ascii="宋体" w:hAnsi="宋体"/>
                <w:szCs w:val="21"/>
              </w:rPr>
              <w:t>5</w:t>
            </w:r>
            <w:r>
              <w:rPr>
                <w:rFonts w:hint="eastAsia" w:ascii="宋体" w:hAnsi="宋体"/>
                <w:szCs w:val="21"/>
              </w:rPr>
              <w:t>月</w:t>
            </w:r>
            <w:r>
              <w:rPr>
                <w:rFonts w:ascii="宋体" w:hAnsi="宋体"/>
                <w:szCs w:val="21"/>
              </w:rPr>
              <w:t>1</w:t>
            </w:r>
            <w:r>
              <w:rPr>
                <w:rFonts w:hint="eastAsia" w:ascii="宋体" w:hAnsi="宋体"/>
                <w:szCs w:val="21"/>
              </w:rPr>
              <w:t>日至今，以合同签订时间为准），投标人每提供一项同行业类业绩得</w:t>
            </w:r>
            <w:r>
              <w:rPr>
                <w:rFonts w:hint="default" w:ascii="宋体" w:hAnsi="宋体"/>
                <w:szCs w:val="21"/>
                <w:lang w:val="en-US"/>
              </w:rPr>
              <w:t>2</w:t>
            </w:r>
            <w:r>
              <w:rPr>
                <w:rFonts w:hint="eastAsia" w:ascii="宋体" w:hAnsi="宋体"/>
                <w:szCs w:val="21"/>
              </w:rPr>
              <w:t>分，满分</w:t>
            </w:r>
            <w:r>
              <w:rPr>
                <w:rFonts w:ascii="宋体" w:hAnsi="宋体"/>
                <w:szCs w:val="21"/>
              </w:rPr>
              <w:t>10</w:t>
            </w:r>
            <w:r>
              <w:rPr>
                <w:rFonts w:hint="eastAsia" w:ascii="宋体" w:hAnsi="宋体"/>
                <w:szCs w:val="21"/>
              </w:rPr>
              <w:t>分；</w:t>
            </w:r>
          </w:p>
          <w:p>
            <w:pPr>
              <w:keepNext/>
              <w:keepLines/>
              <w:spacing w:line="360" w:lineRule="auto"/>
              <w:jc w:val="left"/>
              <w:rPr>
                <w:rFonts w:ascii="宋体"/>
                <w:szCs w:val="21"/>
              </w:rPr>
            </w:pPr>
            <w:r>
              <w:rPr>
                <w:rFonts w:hint="eastAsia" w:ascii="宋体" w:hAnsi="宋体"/>
                <w:szCs w:val="21"/>
              </w:rPr>
              <w:t>备注：投标文件须同时提供合同复印件（原件备查）。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blHeader/>
          <w:jc w:val="center"/>
        </w:trPr>
        <w:tc>
          <w:tcPr>
            <w:tcW w:w="438" w:type="dxa"/>
            <w:vAlign w:val="center"/>
          </w:tcPr>
          <w:p>
            <w:pPr>
              <w:keepNext/>
              <w:keepLines/>
              <w:spacing w:line="360" w:lineRule="auto"/>
              <w:jc w:val="center"/>
              <w:rPr>
                <w:rFonts w:ascii="宋体" w:hAnsi="宋体"/>
                <w:szCs w:val="21"/>
              </w:rPr>
            </w:pPr>
            <w:r>
              <w:rPr>
                <w:rFonts w:ascii="宋体" w:hAnsi="宋体"/>
                <w:szCs w:val="21"/>
              </w:rPr>
              <w:t>3</w:t>
            </w:r>
          </w:p>
          <w:p>
            <w:pPr>
              <w:keepNext/>
              <w:keepLines/>
              <w:spacing w:line="360" w:lineRule="auto"/>
              <w:jc w:val="center"/>
              <w:rPr>
                <w:rFonts w:ascii="宋体" w:hAnsi="宋体"/>
                <w:szCs w:val="21"/>
              </w:rPr>
            </w:pPr>
          </w:p>
        </w:tc>
        <w:tc>
          <w:tcPr>
            <w:tcW w:w="1548" w:type="dxa"/>
            <w:vAlign w:val="center"/>
          </w:tcPr>
          <w:p>
            <w:pPr>
              <w:keepNext/>
              <w:keepLines/>
              <w:spacing w:line="360" w:lineRule="auto"/>
              <w:jc w:val="center"/>
              <w:rPr>
                <w:rFonts w:ascii="宋体"/>
                <w:szCs w:val="21"/>
              </w:rPr>
            </w:pPr>
            <w:r>
              <w:rPr>
                <w:rFonts w:hint="eastAsia" w:ascii="宋体" w:hAnsi="宋体"/>
                <w:szCs w:val="21"/>
              </w:rPr>
              <w:t>综合评价</w:t>
            </w:r>
          </w:p>
        </w:tc>
        <w:tc>
          <w:tcPr>
            <w:tcW w:w="1127" w:type="dxa"/>
            <w:vAlign w:val="center"/>
          </w:tcPr>
          <w:p>
            <w:pPr>
              <w:keepNext/>
              <w:keepLines/>
              <w:spacing w:line="360" w:lineRule="auto"/>
              <w:jc w:val="center"/>
              <w:rPr>
                <w:rFonts w:ascii="宋体"/>
                <w:szCs w:val="21"/>
              </w:rPr>
            </w:pPr>
            <w:r>
              <w:rPr>
                <w:rFonts w:ascii="宋体" w:hAnsi="宋体"/>
                <w:szCs w:val="21"/>
              </w:rPr>
              <w:t>15</w:t>
            </w:r>
            <w:r>
              <w:rPr>
                <w:rFonts w:hint="eastAsia" w:ascii="宋体" w:hAnsi="宋体"/>
                <w:szCs w:val="21"/>
              </w:rPr>
              <w:t>分</w:t>
            </w:r>
          </w:p>
        </w:tc>
        <w:tc>
          <w:tcPr>
            <w:tcW w:w="7024" w:type="dxa"/>
            <w:vAlign w:val="center"/>
          </w:tcPr>
          <w:p>
            <w:pPr>
              <w:keepNext/>
              <w:keepLines/>
              <w:widowControl/>
              <w:jc w:val="left"/>
              <w:rPr>
                <w:rFonts w:ascii="宋体"/>
                <w:szCs w:val="21"/>
              </w:rPr>
            </w:pPr>
            <w:r>
              <w:rPr>
                <w:rFonts w:hint="eastAsia" w:ascii="宋体" w:hAnsi="宋体"/>
                <w:sz w:val="24"/>
              </w:rPr>
              <w:t>由评委会根据投标供应商所投品牌的知名度，新技术的先进性，性价比情况。按照5-1</w:t>
            </w:r>
            <w:r>
              <w:rPr>
                <w:rFonts w:hint="eastAsia" w:ascii="宋体" w:hAnsi="宋体"/>
                <w:sz w:val="24"/>
                <w:lang w:val="en-US" w:eastAsia="zh-CN"/>
              </w:rPr>
              <w:t>5</w:t>
            </w:r>
            <w:r>
              <w:rPr>
                <w:rFonts w:hint="eastAsia" w:ascii="宋体" w:hAnsi="宋体"/>
                <w:sz w:val="24"/>
              </w:rPr>
              <w:t>分酌情评分。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6" w:hRule="atLeast"/>
          <w:tblHeader/>
          <w:jc w:val="center"/>
        </w:trPr>
        <w:tc>
          <w:tcPr>
            <w:tcW w:w="438" w:type="dxa"/>
            <w:vAlign w:val="center"/>
          </w:tcPr>
          <w:p>
            <w:pPr>
              <w:keepNext/>
              <w:keepLines/>
              <w:spacing w:line="360" w:lineRule="auto"/>
              <w:jc w:val="center"/>
              <w:rPr>
                <w:rFonts w:ascii="宋体"/>
                <w:szCs w:val="21"/>
              </w:rPr>
            </w:pPr>
          </w:p>
          <w:p>
            <w:pPr>
              <w:keepNext/>
              <w:keepLines/>
              <w:spacing w:line="360" w:lineRule="auto"/>
              <w:jc w:val="center"/>
              <w:rPr>
                <w:rFonts w:ascii="宋体"/>
                <w:szCs w:val="21"/>
              </w:rPr>
            </w:pPr>
          </w:p>
          <w:p>
            <w:pPr>
              <w:keepNext/>
              <w:keepLines/>
              <w:spacing w:line="360" w:lineRule="auto"/>
              <w:jc w:val="center"/>
              <w:rPr>
                <w:rFonts w:ascii="宋体"/>
                <w:szCs w:val="21"/>
              </w:rPr>
            </w:pPr>
          </w:p>
          <w:p>
            <w:pPr>
              <w:keepNext/>
              <w:keepLines/>
              <w:spacing w:line="360" w:lineRule="auto"/>
              <w:jc w:val="center"/>
              <w:rPr>
                <w:rFonts w:ascii="宋体"/>
                <w:szCs w:val="21"/>
              </w:rPr>
            </w:pPr>
          </w:p>
        </w:tc>
        <w:tc>
          <w:tcPr>
            <w:tcW w:w="1548" w:type="dxa"/>
            <w:vAlign w:val="center"/>
          </w:tcPr>
          <w:p>
            <w:pPr>
              <w:keepNext/>
              <w:keepLines/>
              <w:jc w:val="center"/>
              <w:rPr>
                <w:rFonts w:ascii="宋体"/>
                <w:spacing w:val="-6"/>
                <w:szCs w:val="21"/>
              </w:rPr>
            </w:pPr>
            <w:r>
              <w:rPr>
                <w:rFonts w:hint="eastAsia" w:ascii="宋体" w:hAnsi="宋体"/>
                <w:szCs w:val="21"/>
              </w:rPr>
              <w:t>合计</w:t>
            </w:r>
          </w:p>
        </w:tc>
        <w:tc>
          <w:tcPr>
            <w:tcW w:w="1127" w:type="dxa"/>
            <w:vAlign w:val="center"/>
          </w:tcPr>
          <w:p>
            <w:pPr>
              <w:keepNext/>
              <w:keepLines/>
              <w:jc w:val="center"/>
              <w:rPr>
                <w:rFonts w:ascii="宋体"/>
                <w:spacing w:val="-6"/>
                <w:szCs w:val="21"/>
              </w:rPr>
            </w:pPr>
            <w:r>
              <w:rPr>
                <w:rFonts w:ascii="宋体" w:hAnsi="宋体"/>
                <w:spacing w:val="-6"/>
                <w:szCs w:val="21"/>
              </w:rPr>
              <w:t>10</w:t>
            </w:r>
            <w:r>
              <w:rPr>
                <w:rFonts w:ascii="宋体"/>
                <w:spacing w:val="-6"/>
                <w:szCs w:val="21"/>
              </w:rPr>
              <w:t>0</w:t>
            </w:r>
            <w:r>
              <w:rPr>
                <w:rFonts w:hint="eastAsia" w:ascii="宋体" w:hAnsi="宋体"/>
                <w:spacing w:val="-6"/>
                <w:szCs w:val="21"/>
              </w:rPr>
              <w:t>分</w:t>
            </w:r>
          </w:p>
        </w:tc>
        <w:tc>
          <w:tcPr>
            <w:tcW w:w="7024" w:type="dxa"/>
            <w:vAlign w:val="center"/>
          </w:tcPr>
          <w:p>
            <w:pPr>
              <w:keepNext/>
              <w:keepLines/>
              <w:jc w:val="left"/>
              <w:rPr>
                <w:rFonts w:ascii="宋体"/>
                <w:szCs w:val="21"/>
              </w:rPr>
            </w:pPr>
          </w:p>
        </w:tc>
      </w:tr>
    </w:tbl>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FA740E"/>
    <w:rsid w:val="060A2A33"/>
    <w:rsid w:val="30453055"/>
    <w:rsid w:val="4F6B0E89"/>
    <w:rsid w:val="58CE538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99"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qFormat/>
    <w:uiPriority w:val="99"/>
  </w:style>
  <w:style w:type="table" w:default="1" w:styleId="5">
    <w:name w:val="Normal Table"/>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9"/>
    <w:qFormat/>
    <w:uiPriority w:val="99"/>
    <w:pPr>
      <w:spacing w:before="240" w:after="60"/>
      <w:jc w:val="center"/>
      <w:outlineLvl w:val="0"/>
    </w:pPr>
    <w:rPr>
      <w:rFonts w:ascii="Cambria" w:hAnsi="Cambria"/>
      <w:b/>
      <w:bCs/>
      <w:sz w:val="32"/>
      <w:szCs w:val="32"/>
    </w:rPr>
  </w:style>
  <w:style w:type="character" w:customStyle="1" w:styleId="7">
    <w:name w:val="Footer Char_3178627f-d400-4829-bba3-41cc7a404c43"/>
    <w:basedOn w:val="6"/>
    <w:link w:val="2"/>
    <w:uiPriority w:val="99"/>
    <w:rPr>
      <w:rFonts w:ascii="Times New Roman" w:hAnsi="Times New Roman" w:eastAsia="宋体" w:cs="Times New Roman"/>
      <w:sz w:val="18"/>
      <w:szCs w:val="18"/>
    </w:rPr>
  </w:style>
  <w:style w:type="character" w:customStyle="1" w:styleId="8">
    <w:name w:val="Header Char_b2b9a999-8115-4295-a549-5f098e60f6bc"/>
    <w:basedOn w:val="6"/>
    <w:link w:val="3"/>
    <w:qFormat/>
    <w:uiPriority w:val="99"/>
    <w:rPr>
      <w:rFonts w:ascii="Times New Roman" w:hAnsi="Times New Roman" w:eastAsia="宋体" w:cs="Times New Roman"/>
      <w:sz w:val="18"/>
      <w:szCs w:val="18"/>
    </w:rPr>
  </w:style>
  <w:style w:type="character" w:customStyle="1" w:styleId="9">
    <w:name w:val="Title Char_fdda970d-ffa0-4477-8d35-f7a6dc2adff0"/>
    <w:basedOn w:val="6"/>
    <w:link w:val="4"/>
    <w:qFormat/>
    <w:uiPriority w:val="99"/>
    <w:rPr>
      <w:rFonts w:ascii="Cambria" w:hAnsi="Cambria" w:eastAsia="宋体" w:cs="Times New Roman"/>
      <w:b/>
      <w:bCs/>
      <w:sz w:val="32"/>
      <w:szCs w:val="32"/>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Pages>
  <Words>771</Words>
  <Characters>790</Characters>
  <Paragraphs>54</Paragraphs>
  <TotalTime>20</TotalTime>
  <ScaleCrop>false</ScaleCrop>
  <LinksUpToDate>false</LinksUpToDate>
  <CharactersWithSpaces>813</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2019-04-04T02:15:00Z</dcterms:created>
  <dc:creator>lenovo</dc:creator>
  <cp:lastModifiedBy>big^O^face</cp:lastModifiedBy>
  <cp:lastPrinted>2019-09-18T06:58:10Z</cp:lastPrinted>
  <dcterms:modified xsi:type="dcterms:W3CDTF">2019-09-18T07:09:10Z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