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49189" w14:textId="77777777" w:rsidR="00E20A34" w:rsidRDefault="00E20A34">
      <w:pPr>
        <w:pStyle w:val="a3"/>
        <w:widowControl/>
        <w:tabs>
          <w:tab w:val="left" w:pos="2338"/>
        </w:tabs>
        <w:snapToGrid w:val="0"/>
        <w:spacing w:line="360" w:lineRule="auto"/>
        <w:ind w:firstLine="643"/>
        <w:jc w:val="left"/>
        <w:rPr>
          <w:rFonts w:asciiTheme="minorEastAsia" w:eastAsiaTheme="minorEastAsia" w:hAnsiTheme="minorEastAsia" w:cstheme="minorEastAsia"/>
          <w:b/>
          <w:bCs/>
          <w:kern w:val="0"/>
          <w:sz w:val="32"/>
          <w:szCs w:val="32"/>
        </w:rPr>
      </w:pPr>
    </w:p>
    <w:p w14:paraId="03A023F8" w14:textId="77777777" w:rsidR="00E20A34" w:rsidRDefault="00E20A34">
      <w:pPr>
        <w:pStyle w:val="a3"/>
        <w:widowControl/>
        <w:tabs>
          <w:tab w:val="left" w:pos="2338"/>
        </w:tabs>
        <w:snapToGrid w:val="0"/>
        <w:spacing w:line="360" w:lineRule="auto"/>
        <w:ind w:firstLine="643"/>
        <w:jc w:val="left"/>
        <w:rPr>
          <w:rFonts w:asciiTheme="minorEastAsia" w:eastAsiaTheme="minorEastAsia" w:hAnsiTheme="minorEastAsia" w:cstheme="minorEastAsia"/>
          <w:b/>
          <w:bCs/>
          <w:kern w:val="0"/>
          <w:sz w:val="32"/>
          <w:szCs w:val="32"/>
        </w:rPr>
      </w:pPr>
    </w:p>
    <w:p w14:paraId="3190837D" w14:textId="77777777" w:rsidR="00E20A34" w:rsidRDefault="00E20A34">
      <w:pPr>
        <w:pStyle w:val="a3"/>
        <w:widowControl/>
        <w:tabs>
          <w:tab w:val="left" w:pos="2338"/>
        </w:tabs>
        <w:snapToGrid w:val="0"/>
        <w:spacing w:line="360" w:lineRule="auto"/>
        <w:ind w:firstLine="643"/>
        <w:jc w:val="left"/>
        <w:rPr>
          <w:rFonts w:asciiTheme="minorEastAsia" w:eastAsiaTheme="minorEastAsia" w:hAnsiTheme="minorEastAsia" w:cstheme="minorEastAsia"/>
          <w:b/>
          <w:bCs/>
          <w:kern w:val="0"/>
          <w:sz w:val="32"/>
          <w:szCs w:val="32"/>
        </w:rPr>
      </w:pPr>
    </w:p>
    <w:p w14:paraId="22696E75" w14:textId="77777777" w:rsidR="004E56E1" w:rsidRDefault="00E20A34">
      <w:pPr>
        <w:pStyle w:val="a3"/>
        <w:widowControl/>
        <w:tabs>
          <w:tab w:val="left" w:pos="2338"/>
        </w:tabs>
        <w:snapToGrid w:val="0"/>
        <w:spacing w:line="360" w:lineRule="auto"/>
        <w:ind w:firstLine="643"/>
        <w:jc w:val="left"/>
        <w:rPr>
          <w:rFonts w:asciiTheme="minorEastAsia" w:eastAsia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bCs/>
          <w:kern w:val="0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以城市自来水为水源，全自动控制系统及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LCD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显示屏，稳定可靠的一级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RO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系统和大容量的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DI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离子交换纯化单元，内置式压力纯水桶≧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1.5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升，外置式压力纯水桶≧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15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升。</w:t>
      </w:r>
    </w:p>
    <w:p w14:paraId="33547EE5" w14:textId="77777777" w:rsidR="004E56E1" w:rsidRDefault="00E20A34">
      <w:pPr>
        <w:pStyle w:val="a3"/>
        <w:widowControl/>
        <w:tabs>
          <w:tab w:val="left" w:pos="2338"/>
        </w:tabs>
        <w:snapToGrid w:val="0"/>
        <w:spacing w:line="360" w:lineRule="auto"/>
        <w:ind w:firstLine="640"/>
        <w:jc w:val="left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2.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纯水质量完全达到或超过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ISO3696(2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级水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GB/T 6682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（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级水）、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ASTM D1193(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Ⅱ型试剂级水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JIS K0557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等规定的水质标准，也满足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CP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EP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USP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JP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等国药典对纯化水的技术要求。</w:t>
      </w:r>
    </w:p>
    <w:p w14:paraId="45EB7A61" w14:textId="77777777" w:rsidR="004E56E1" w:rsidRDefault="00E20A34">
      <w:pPr>
        <w:pStyle w:val="a3"/>
        <w:widowControl/>
        <w:tabs>
          <w:tab w:val="left" w:pos="2338"/>
        </w:tabs>
        <w:snapToGrid w:val="0"/>
        <w:spacing w:line="360" w:lineRule="auto"/>
        <w:ind w:firstLine="640"/>
        <w:jc w:val="left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3.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产水量≧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20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升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小时，瞬间产水量≧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1.0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升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/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分钟。</w:t>
      </w:r>
    </w:p>
    <w:p w14:paraId="373E9D6E" w14:textId="77777777" w:rsidR="004E56E1" w:rsidRDefault="00E20A34">
      <w:pPr>
        <w:pStyle w:val="a3"/>
        <w:widowControl/>
        <w:tabs>
          <w:tab w:val="left" w:pos="851"/>
          <w:tab w:val="left" w:pos="993"/>
          <w:tab w:val="left" w:pos="1276"/>
          <w:tab w:val="left" w:pos="2338"/>
        </w:tabs>
        <w:snapToGrid w:val="0"/>
        <w:spacing w:line="360" w:lineRule="auto"/>
        <w:ind w:firstLine="640"/>
        <w:jc w:val="left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4.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有机物去除率：＞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99%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；微粒及细菌去除率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&gt;99%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。</w:t>
      </w:r>
    </w:p>
    <w:p w14:paraId="68461C50" w14:textId="77777777" w:rsidR="004E56E1" w:rsidRDefault="00E20A34">
      <w:pPr>
        <w:pStyle w:val="a3"/>
        <w:widowControl/>
        <w:tabs>
          <w:tab w:val="left" w:pos="851"/>
          <w:tab w:val="left" w:pos="993"/>
          <w:tab w:val="left" w:pos="1276"/>
          <w:tab w:val="left" w:pos="2338"/>
        </w:tabs>
        <w:snapToGrid w:val="0"/>
        <w:spacing w:line="360" w:lineRule="auto"/>
        <w:ind w:firstLine="640"/>
        <w:jc w:val="left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5.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至少具有手动取水及定量取水两种取水方式。</w:t>
      </w:r>
    </w:p>
    <w:p w14:paraId="3EC1E7E8" w14:textId="77777777" w:rsidR="004E56E1" w:rsidRDefault="00E20A34">
      <w:pPr>
        <w:spacing w:line="360" w:lineRule="auto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6.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整机维保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年。</w:t>
      </w:r>
    </w:p>
    <w:p w14:paraId="180520C8" w14:textId="77777777" w:rsidR="004E56E1" w:rsidRDefault="00E20A34">
      <w:pPr>
        <w:spacing w:line="360" w:lineRule="auto"/>
        <w:ind w:firstLineChars="200" w:firstLine="64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7.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除配备的装机耗材外再搭配供应成套相关滤芯、耗材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套。</w:t>
      </w:r>
    </w:p>
    <w:sectPr w:rsidR="004E5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F7C81"/>
    <w:rsid w:val="004E56E1"/>
    <w:rsid w:val="00E20A34"/>
    <w:rsid w:val="0E5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C5D8A5-38D8-4708-9901-1F74A57D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杜微</dc:creator>
  <cp:lastModifiedBy>gyb1</cp:lastModifiedBy>
  <cp:revision>3</cp:revision>
  <dcterms:created xsi:type="dcterms:W3CDTF">2025-12-09T07:15:00Z</dcterms:created>
  <dcterms:modified xsi:type="dcterms:W3CDTF">2025-12-09T07:22:00Z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2C7C7C2055E54226B4CDF20770087374_11</vt:lpwstr>
  </property>
  <property fmtid="{D5CDD505-2E9C-101B-9397-08002B2CF9AE}" pid="4" name="KSOTemplateDocerSaveRecord">
    <vt:lpwstr>eyJoZGlkIjoiOTBjMjEzYTM0OTA0ZGY4NTBmMmZiZWJjOThlNzhmZmYiLCJ1c2VySWQiOiIyMDI4ODcxMTcifQ==</vt:lpwstr>
  </property>
</Properties>
</file>