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56E10">
      <w:pPr>
        <w:pStyle w:val="2"/>
        <w:ind w:firstLine="904" w:firstLineChars="300"/>
        <w:rPr>
          <w:rStyle w:val="6"/>
          <w:rFonts w:ascii="Arial" w:hAnsi="Arial" w:cs="Arial"/>
          <w:sz w:val="30"/>
          <w:szCs w:val="30"/>
        </w:rPr>
      </w:pPr>
    </w:p>
    <w:p w14:paraId="4E0D6C21">
      <w:pPr>
        <w:pStyle w:val="2"/>
        <w:ind w:firstLine="480"/>
        <w:jc w:val="center"/>
        <w:rPr>
          <w:rStyle w:val="6"/>
          <w:rFonts w:hint="default" w:ascii="Arial" w:hAnsi="Arial" w:eastAsia="宋体" w:cs="Arial"/>
          <w:lang w:val="en-US" w:eastAsia="zh-CN"/>
        </w:rPr>
      </w:pPr>
      <w:r>
        <w:rPr>
          <w:rStyle w:val="6"/>
          <w:rFonts w:hint="eastAsia" w:ascii="Arial" w:hAnsi="Arial" w:cs="Arial"/>
          <w:sz w:val="30"/>
          <w:szCs w:val="30"/>
          <w:lang w:val="en-US" w:eastAsia="zh-CN"/>
        </w:rPr>
        <w:t>服务需求及评分标准</w:t>
      </w:r>
    </w:p>
    <w:p w14:paraId="3AB2555F">
      <w:pPr>
        <w:pStyle w:val="2"/>
        <w:ind w:firstLine="480"/>
        <w:rPr>
          <w:rFonts w:ascii="Arial" w:hAnsi="Arial" w:cs="Arial"/>
        </w:rPr>
      </w:pPr>
      <w:r>
        <w:rPr>
          <w:rStyle w:val="6"/>
          <w:rFonts w:ascii="Arial" w:hAnsi="Arial" w:cs="Arial"/>
        </w:rPr>
        <w:t>一、</w:t>
      </w:r>
      <w:r>
        <w:rPr>
          <w:rStyle w:val="6"/>
          <w:rFonts w:hint="eastAsia" w:ascii="Arial" w:hAnsi="Arial" w:cs="Arial"/>
          <w:lang w:eastAsia="zh-CN"/>
        </w:rPr>
        <w:t>消除“艾梅乙”母婴传播</w:t>
      </w:r>
      <w:r>
        <w:rPr>
          <w:rStyle w:val="6"/>
          <w:rFonts w:ascii="Arial" w:hAnsi="Arial" w:cs="Arial"/>
        </w:rPr>
        <w:t>宣传视频</w:t>
      </w:r>
    </w:p>
    <w:p w14:paraId="52A484F7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（一）内容要求</w:t>
      </w:r>
    </w:p>
    <w:p w14:paraId="3E3AF0ED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1.视频主题：根据解说内容撰写动画脚本，内容围绕</w:t>
      </w:r>
      <w:r>
        <w:rPr>
          <w:rFonts w:hint="eastAsia" w:ascii="Arial" w:hAnsi="Arial" w:cs="Arial"/>
          <w:lang w:eastAsia="zh-CN"/>
        </w:rPr>
        <w:t>艾滋病、梅毒、乙肝</w:t>
      </w:r>
      <w:r>
        <w:rPr>
          <w:rFonts w:ascii="Arial" w:hAnsi="Arial" w:cs="Arial"/>
        </w:rPr>
        <w:t>疾病传播途径、症状、</w:t>
      </w:r>
      <w:r>
        <w:rPr>
          <w:rFonts w:hint="eastAsia" w:ascii="Arial" w:hAnsi="Arial" w:cs="Arial"/>
          <w:lang w:eastAsia="zh-CN"/>
        </w:rPr>
        <w:t>母婴传播</w:t>
      </w:r>
      <w:r>
        <w:rPr>
          <w:rFonts w:ascii="Arial" w:hAnsi="Arial" w:cs="Arial"/>
        </w:rPr>
        <w:t>、预防措施</w:t>
      </w:r>
      <w:r>
        <w:rPr>
          <w:rFonts w:hint="eastAsia" w:ascii="Arial" w:hAnsi="Arial" w:cs="Arial"/>
          <w:lang w:eastAsia="zh-CN"/>
        </w:rPr>
        <w:t>以及反歧视、防家暴</w:t>
      </w:r>
      <w:r>
        <w:rPr>
          <w:rFonts w:ascii="Arial" w:hAnsi="Arial" w:cs="Arial"/>
        </w:rPr>
        <w:t>等内容，结合科学数据与案例，确保信息准确、权威；</w:t>
      </w:r>
    </w:p>
    <w:p w14:paraId="00E81778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2.受众定位：明确针对</w:t>
      </w:r>
      <w:r>
        <w:rPr>
          <w:rFonts w:hint="eastAsia" w:ascii="Arial" w:hAnsi="Arial" w:cs="Arial"/>
          <w:lang w:eastAsia="zh-CN"/>
        </w:rPr>
        <w:t>育龄妇女</w:t>
      </w:r>
      <w:r>
        <w:rPr>
          <w:rFonts w:ascii="Arial" w:hAnsi="Arial" w:cs="Arial"/>
        </w:rPr>
        <w:t>、</w:t>
      </w:r>
      <w:r>
        <w:rPr>
          <w:rFonts w:hint="eastAsia" w:ascii="Arial" w:hAnsi="Arial" w:cs="Arial"/>
          <w:lang w:eastAsia="zh-CN"/>
        </w:rPr>
        <w:t>孕产妇</w:t>
      </w:r>
      <w:r>
        <w:rPr>
          <w:rFonts w:ascii="Arial" w:hAnsi="Arial" w:cs="Arial"/>
        </w:rPr>
        <w:t>、</w:t>
      </w:r>
      <w:r>
        <w:rPr>
          <w:rFonts w:hint="eastAsia" w:ascii="Arial" w:hAnsi="Arial" w:cs="Arial"/>
          <w:lang w:eastAsia="zh-CN"/>
        </w:rPr>
        <w:t>流动人群、青少年、</w:t>
      </w:r>
      <w:r>
        <w:rPr>
          <w:rFonts w:ascii="Arial" w:hAnsi="Arial" w:cs="Arial"/>
        </w:rPr>
        <w:t>高危人群等不同受众群体，语言风格需通俗易懂，避免专业术语堆砌；</w:t>
      </w:r>
    </w:p>
    <w:p w14:paraId="7C131839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3.创意形式：根据脚本内容定制化设计场景，可采用动画、真人实拍、MG动画等形式，要求创意新颖，具备较强的视觉吸引力和传播力。</w:t>
      </w:r>
    </w:p>
    <w:p w14:paraId="5DADF0B0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4.总时长：3分钟以上</w:t>
      </w:r>
    </w:p>
    <w:p w14:paraId="4511C919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（二）技术参数</w:t>
      </w:r>
    </w:p>
    <w:p w14:paraId="33331EED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1.视频格式：支持MP4、MOV等主流格式。</w:t>
      </w:r>
    </w:p>
    <w:p w14:paraId="024FBE85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2.分辨率：不低于1920×1080（1080P）。</w:t>
      </w:r>
    </w:p>
    <w:p w14:paraId="28562398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3.帧率：30帧/秒，确保画面流畅无卡顿。</w:t>
      </w:r>
    </w:p>
    <w:p w14:paraId="0976C3AD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4.音频标准：双声道立体声，采样率48kHz，音频清晰无杂音，音量均衡，需添加中文字幕。</w:t>
      </w:r>
    </w:p>
    <w:p w14:paraId="3B40FF5C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（三）制作要求</w:t>
      </w:r>
    </w:p>
    <w:p w14:paraId="0B29E8F6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1.画面质量：色彩还原准确，画面无模糊、抖动、噪点；动画类视频需保证角色动作流畅、场景设计合理；实拍类视频需保证光线充足、构图美观。</w:t>
      </w:r>
    </w:p>
    <w:p w14:paraId="22D7D756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2.配音配乐：专业配音员录制，语言表达清晰自然；配乐贴合视频主题，版权合法合规，无侵权风险。</w:t>
      </w:r>
    </w:p>
    <w:p w14:paraId="1A93C21B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3.字幕特效：文字排版简洁美观，特效运用适度，不影响信息传达；重要知识点可通过动态字幕、图标等方式强化展示。</w:t>
      </w:r>
    </w:p>
    <w:p w14:paraId="1C64CEF7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（四）交付要求</w:t>
      </w:r>
    </w:p>
    <w:p w14:paraId="6DAA34DF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1.成品数量：提供主视频1个，根据需要拆分15秒、30秒、1分钟等不同时长的短视频版本。</w:t>
      </w:r>
    </w:p>
    <w:p w14:paraId="2AA3DCB7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2.交付时间：明确规定供应商自合同签订之日起，需接到业主方制作需求后15个工作日内完成初稿，30个工作日内完成最终交付 。</w:t>
      </w:r>
    </w:p>
    <w:p w14:paraId="3BB6D058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（五）其他要求</w:t>
      </w:r>
    </w:p>
    <w:p w14:paraId="50CC949B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1.版权保证：供应商需保证视频内容、素材、音乐等无版权纠纷，提供相关授权证明；成品版权归采购方所有。</w:t>
      </w:r>
    </w:p>
    <w:p w14:paraId="2523BB63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2.售后服务：提供一定期限的免费修改服务（如1 - 3个月），协助适配不同平台播放需求。</w:t>
      </w:r>
    </w:p>
    <w:p w14:paraId="43222D49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（六）采购预算</w:t>
      </w:r>
    </w:p>
    <w:p w14:paraId="415FA306">
      <w:pPr>
        <w:pStyle w:val="2"/>
        <w:ind w:firstLine="480"/>
        <w:rPr>
          <w:rFonts w:ascii="Arial" w:hAnsi="Arial" w:cs="Arial"/>
        </w:rPr>
      </w:pPr>
      <w:r>
        <w:rPr>
          <w:rFonts w:hint="eastAsia" w:ascii="Arial" w:hAnsi="Arial" w:cs="Arial"/>
          <w:lang w:val="en-US" w:eastAsia="zh-CN"/>
        </w:rPr>
        <w:t>20</w:t>
      </w:r>
      <w:r>
        <w:rPr>
          <w:rFonts w:ascii="Arial" w:hAnsi="Arial" w:cs="Arial"/>
        </w:rPr>
        <w:t>000元 </w:t>
      </w:r>
    </w:p>
    <w:p w14:paraId="6CC2AE21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05CE63BE">
      <w:pPr>
        <w:pStyle w:val="2"/>
        <w:ind w:firstLine="480"/>
        <w:rPr>
          <w:rFonts w:ascii="Arial" w:hAnsi="Arial" w:cs="Arial"/>
        </w:rPr>
      </w:pPr>
      <w:r>
        <w:rPr>
          <w:rStyle w:val="6"/>
          <w:rFonts w:ascii="Arial" w:hAnsi="Arial" w:cs="Arial"/>
        </w:rPr>
        <w:t>二、</w:t>
      </w:r>
      <w:r>
        <w:rPr>
          <w:rStyle w:val="6"/>
          <w:rFonts w:hint="eastAsia" w:ascii="Arial" w:hAnsi="Arial" w:cs="Arial"/>
          <w:lang w:eastAsia="zh-CN"/>
        </w:rPr>
        <w:t>世界肝炎日</w:t>
      </w:r>
      <w:r>
        <w:rPr>
          <w:rStyle w:val="6"/>
          <w:rFonts w:ascii="Arial" w:hAnsi="Arial" w:cs="Arial"/>
        </w:rPr>
        <w:t>宣传视频</w:t>
      </w:r>
    </w:p>
    <w:p w14:paraId="3F03A4ED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（一）内容要求</w:t>
      </w:r>
    </w:p>
    <w:p w14:paraId="5AC207A3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1.视频主题：根据解说内容撰写动画脚本，内容围绕疾病传播途径、症状、治疗、预防措施等内容，结合科学数据与案例，确保信息准确、权威；</w:t>
      </w:r>
    </w:p>
    <w:p w14:paraId="12C4E5DF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2.受众定位：明确针对普通公众、高危人群等不同受众群体，语言风格需通俗易懂，避免专业术语堆砌；</w:t>
      </w:r>
    </w:p>
    <w:p w14:paraId="1F5B954C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3.创意形式：根据脚本内容定制化设计场景，可采用动画、真人实拍、MG动画等形式，要求创意新颖，具备较强的视觉吸引力和传播力。</w:t>
      </w:r>
    </w:p>
    <w:p w14:paraId="4596192D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4.总时长：3分钟以上</w:t>
      </w:r>
    </w:p>
    <w:p w14:paraId="1C71D32B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（二）技术参数</w:t>
      </w:r>
    </w:p>
    <w:p w14:paraId="636603D0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1.视频格式：支持MP4、MOV等主流格式。</w:t>
      </w:r>
    </w:p>
    <w:p w14:paraId="03FF2500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2.分辨率：不低于1920×1080（1080P）。</w:t>
      </w:r>
    </w:p>
    <w:p w14:paraId="5241625B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3.帧率：30帧/秒，确保画面流畅无卡顿。</w:t>
      </w:r>
    </w:p>
    <w:p w14:paraId="1CCA8BB3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4.音频标准：双声道立体声，采样率48kHz，音频清晰无杂音，音量均衡，需添加中文字幕。</w:t>
      </w:r>
    </w:p>
    <w:p w14:paraId="771D2E72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（三）制作要求</w:t>
      </w:r>
    </w:p>
    <w:p w14:paraId="2513A9A4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1.画面质量：色彩还原准确，画面无模糊、抖动、噪点；动画类视频需保证角色动作流畅、场景设计合理；实拍类视频需保证光线充足、构图美观。</w:t>
      </w:r>
    </w:p>
    <w:p w14:paraId="237115B2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2.配音配乐：专业配音员录制，语言表达清晰自然；配乐贴合视频主题，版权合法合规，无侵权风险。</w:t>
      </w:r>
    </w:p>
    <w:p w14:paraId="7794E258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3.字幕特效：文字排版简洁美观，特效运用适度，不影响信息传达；重要知识点可通过动态字幕、图标等方式强化展示。</w:t>
      </w:r>
    </w:p>
    <w:p w14:paraId="6A8A49E8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（四）交付要求</w:t>
      </w:r>
    </w:p>
    <w:p w14:paraId="59DB7709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1.成品数量：提供主视频1个，根据需要拆分15秒、30秒、1分钟等不同时长的短视频版本。</w:t>
      </w:r>
    </w:p>
    <w:p w14:paraId="3CBB048E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2.交付时间：明确规定供应商自合同签订之日起，需接到业主方制作需求后15个工作日内完成初稿，30个工作日内完成最终交付 。</w:t>
      </w:r>
    </w:p>
    <w:p w14:paraId="3B5E3BAD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（五）其他要求</w:t>
      </w:r>
    </w:p>
    <w:p w14:paraId="0B24F363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1.版权保证：供应商需保证视频内容、素材、音乐等无版权纠纷，提供相关授权证明；成品版权归采购方所有。</w:t>
      </w:r>
    </w:p>
    <w:p w14:paraId="5CE98FDD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2.售后服务：提供一定期限的免费修改服务（如1 - 3个月），协助适配不同平台播放需求。</w:t>
      </w:r>
    </w:p>
    <w:p w14:paraId="54E3873C">
      <w:pPr>
        <w:pStyle w:val="2"/>
        <w:ind w:firstLine="480"/>
        <w:rPr>
          <w:rFonts w:ascii="Arial" w:hAnsi="Arial" w:cs="Arial"/>
        </w:rPr>
      </w:pPr>
      <w:r>
        <w:rPr>
          <w:rFonts w:ascii="Arial" w:hAnsi="Arial" w:cs="Arial"/>
        </w:rPr>
        <w:t>（六）采购预算</w:t>
      </w:r>
    </w:p>
    <w:p w14:paraId="4B0B9991">
      <w:pPr>
        <w:pStyle w:val="2"/>
        <w:ind w:firstLine="480"/>
        <w:rPr>
          <w:rFonts w:ascii="Arial" w:hAnsi="Arial" w:cs="Arial"/>
        </w:rPr>
      </w:pPr>
      <w:r>
        <w:rPr>
          <w:rFonts w:hint="eastAsia" w:ascii="Arial" w:hAnsi="Arial" w:cs="Arial"/>
          <w:lang w:val="en-US" w:eastAsia="zh-CN"/>
        </w:rPr>
        <w:t>20</w:t>
      </w:r>
      <w:r>
        <w:rPr>
          <w:rFonts w:ascii="Arial" w:hAnsi="Arial" w:cs="Arial"/>
        </w:rPr>
        <w:t>000元</w:t>
      </w:r>
    </w:p>
    <w:p w14:paraId="2F4F3031">
      <w:pPr>
        <w:pStyle w:val="2"/>
        <w:ind w:firstLine="480"/>
        <w:rPr>
          <w:rFonts w:ascii="Arial" w:hAnsi="Arial" w:cs="Arial"/>
        </w:rPr>
      </w:pPr>
    </w:p>
    <w:p w14:paraId="1BAEB270">
      <w:pPr>
        <w:pStyle w:val="2"/>
        <w:ind w:firstLine="480"/>
        <w:rPr>
          <w:rFonts w:ascii="Arial" w:hAnsi="Arial" w:cs="Arial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2080"/>
        <w:gridCol w:w="2069"/>
        <w:gridCol w:w="2079"/>
      </w:tblGrid>
      <w:tr w14:paraId="47146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DC5B179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评分项目</w:t>
            </w:r>
          </w:p>
        </w:tc>
        <w:tc>
          <w:tcPr>
            <w:tcW w:w="2130" w:type="dxa"/>
          </w:tcPr>
          <w:p w14:paraId="4F6E0E27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评分细则</w:t>
            </w:r>
          </w:p>
        </w:tc>
        <w:tc>
          <w:tcPr>
            <w:tcW w:w="2131" w:type="dxa"/>
          </w:tcPr>
          <w:p w14:paraId="6C759F51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分值</w:t>
            </w:r>
          </w:p>
        </w:tc>
        <w:tc>
          <w:tcPr>
            <w:tcW w:w="2131" w:type="dxa"/>
          </w:tcPr>
          <w:p w14:paraId="5E7B15AA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评分标准</w:t>
            </w:r>
          </w:p>
        </w:tc>
      </w:tr>
      <w:tr w14:paraId="549A1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3E1F37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公司实力</w:t>
            </w:r>
          </w:p>
        </w:tc>
        <w:tc>
          <w:tcPr>
            <w:tcW w:w="2130" w:type="dxa"/>
          </w:tcPr>
          <w:p w14:paraId="1214A9F1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1.公司资质齐全（营业执照、等）2。企业成立年限。</w:t>
            </w:r>
          </w:p>
        </w:tc>
        <w:tc>
          <w:tcPr>
            <w:tcW w:w="2131" w:type="dxa"/>
          </w:tcPr>
          <w:p w14:paraId="0AB1CB5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131" w:type="dxa"/>
          </w:tcPr>
          <w:p w14:paraId="56D7DA5A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</w:rPr>
              <w:t>1. 企业成立年限：成立5年以上得5分，3 - 5年得3分，3年以下得1分。2. 相关资质：拥有</w:t>
            </w:r>
            <w:r>
              <w:rPr>
                <w:rFonts w:hint="eastAsia"/>
                <w:vertAlign w:val="baseline"/>
                <w:lang w:val="en-US" w:eastAsia="zh-CN"/>
              </w:rPr>
              <w:t>广告设计</w:t>
            </w:r>
            <w:r>
              <w:rPr>
                <w:rFonts w:hint="eastAsia"/>
                <w:vertAlign w:val="baseline"/>
              </w:rPr>
              <w:t>、</w:t>
            </w:r>
            <w:r>
              <w:rPr>
                <w:rFonts w:hint="eastAsia"/>
                <w:vertAlign w:val="baseline"/>
                <w:lang w:val="en-US" w:eastAsia="zh-CN"/>
              </w:rPr>
              <w:t>图文设计、电视动画片及影视类</w:t>
            </w:r>
            <w:r>
              <w:rPr>
                <w:rFonts w:hint="eastAsia"/>
                <w:vertAlign w:val="baseline"/>
              </w:rPr>
              <w:t>等相关资质，</w:t>
            </w:r>
            <w:r>
              <w:rPr>
                <w:rFonts w:hint="eastAsia"/>
                <w:vertAlign w:val="baseline"/>
                <w:lang w:val="en-US" w:eastAsia="zh-CN"/>
              </w:rPr>
              <w:t>每项</w:t>
            </w:r>
            <w:r>
              <w:rPr>
                <w:rFonts w:hint="eastAsia"/>
                <w:vertAlign w:val="baseline"/>
              </w:rPr>
              <w:t>得</w:t>
            </w:r>
            <w:r>
              <w:rPr>
                <w:rFonts w:hint="eastAsia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vertAlign w:val="baseline"/>
              </w:rPr>
              <w:t>分，最高</w:t>
            </w:r>
            <w:r>
              <w:rPr>
                <w:rFonts w:hint="eastAsia"/>
                <w:vertAlign w:val="baseline"/>
                <w:lang w:val="en-US" w:eastAsia="zh-CN"/>
              </w:rPr>
              <w:t>5</w:t>
            </w:r>
            <w:r>
              <w:rPr>
                <w:rFonts w:hint="eastAsia"/>
                <w:vertAlign w:val="baseline"/>
              </w:rPr>
              <w:t>分。</w:t>
            </w:r>
          </w:p>
        </w:tc>
      </w:tr>
      <w:tr w14:paraId="25C6C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D907F0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公司经验</w:t>
            </w:r>
          </w:p>
        </w:tc>
        <w:tc>
          <w:tcPr>
            <w:tcW w:w="2130" w:type="dxa"/>
          </w:tcPr>
          <w:p w14:paraId="32DE6C3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1.近两年摄制相关科普视频获国家级、省市级奖项等。2.企业或个人拥有运营百万级粉丝账号。3.在省市级官方平台投放推广。</w:t>
            </w:r>
          </w:p>
        </w:tc>
        <w:tc>
          <w:tcPr>
            <w:tcW w:w="2131" w:type="dxa"/>
          </w:tcPr>
          <w:p w14:paraId="5A3676B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2131" w:type="dxa"/>
          </w:tcPr>
          <w:p w14:paraId="60256AAA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vertAlign w:val="baseline"/>
              </w:rPr>
              <w:t>. 过往业绩：近</w:t>
            </w:r>
            <w:r>
              <w:rPr>
                <w:rFonts w:hint="eastAsia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vertAlign w:val="baseline"/>
              </w:rPr>
              <w:t>年</w:t>
            </w:r>
            <w:r>
              <w:rPr>
                <w:rFonts w:hint="eastAsia"/>
                <w:vertAlign w:val="baseline"/>
                <w:lang w:eastAsia="zh-CN"/>
              </w:rPr>
              <w:t>摄制相关</w:t>
            </w:r>
            <w:r>
              <w:rPr>
                <w:rFonts w:hint="eastAsia"/>
                <w:vertAlign w:val="baseline"/>
                <w:lang w:val="en-US" w:eastAsia="zh-CN"/>
              </w:rPr>
              <w:t>科普视频获市级奖项得3分，省级得5分，国家级奖项得10分。最高10分2.企业或拥有运营百万级粉丝账号加10分。最高10分。3.可在省级官方平台投放推广得10分，在市级官方平台投放推广得5分，最高10分。</w:t>
            </w:r>
          </w:p>
        </w:tc>
      </w:tr>
      <w:tr w14:paraId="57D0E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16FA44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专业团队能力</w:t>
            </w:r>
          </w:p>
        </w:tc>
        <w:tc>
          <w:tcPr>
            <w:tcW w:w="2130" w:type="dxa"/>
          </w:tcPr>
          <w:p w14:paraId="29068B7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vertAlign w:val="baseline"/>
              </w:rPr>
              <w:t>. 文案、设计、运营、</w:t>
            </w:r>
            <w:r>
              <w:rPr>
                <w:rFonts w:hint="eastAsia"/>
                <w:vertAlign w:val="baseline"/>
                <w:lang w:val="en-US" w:eastAsia="zh-CN"/>
              </w:rPr>
              <w:t>摄制</w:t>
            </w:r>
            <w:r>
              <w:rPr>
                <w:rFonts w:hint="eastAsia"/>
                <w:vertAlign w:val="baseline"/>
              </w:rPr>
              <w:t>岗位人员配置齐全；</w:t>
            </w:r>
            <w:r>
              <w:rPr>
                <w:rFonts w:hint="eastAsia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vertAlign w:val="baseline"/>
              </w:rPr>
              <w:t>. 团队负责人需有5年以上新媒体运营经验。</w:t>
            </w:r>
          </w:p>
        </w:tc>
        <w:tc>
          <w:tcPr>
            <w:tcW w:w="2131" w:type="dxa"/>
          </w:tcPr>
          <w:p w14:paraId="266A542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131" w:type="dxa"/>
          </w:tcPr>
          <w:p w14:paraId="32536A2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</w:t>
            </w:r>
            <w:r>
              <w:rPr>
                <w:rFonts w:hint="eastAsia"/>
                <w:vertAlign w:val="baseline"/>
              </w:rPr>
              <w:t xml:space="preserve"> 关键岗位人员每配备1人加</w:t>
            </w:r>
            <w:r>
              <w:rPr>
                <w:rFonts w:hint="eastAsia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vertAlign w:val="baseline"/>
              </w:rPr>
              <w:t>分，</w:t>
            </w:r>
            <w:r>
              <w:rPr>
                <w:rFonts w:hint="eastAsia"/>
                <w:vertAlign w:val="baseline"/>
                <w:lang w:val="en-US" w:eastAsia="zh-CN"/>
              </w:rPr>
              <w:t>最高5分；</w:t>
            </w:r>
            <w:r>
              <w:rPr>
                <w:rFonts w:hint="eastAsia"/>
                <w:vertAlign w:val="baseline"/>
              </w:rPr>
              <w:t>负责人</w:t>
            </w:r>
            <w:r>
              <w:rPr>
                <w:rFonts w:hint="eastAsia"/>
                <w:vertAlign w:val="baseline"/>
                <w:lang w:eastAsia="zh-CN"/>
              </w:rPr>
              <w:t>新媒体运营经验年限达标加</w:t>
            </w:r>
            <w:r>
              <w:rPr>
                <w:rFonts w:hint="eastAsia"/>
                <w:vertAlign w:val="baseline"/>
                <w:lang w:val="en-US" w:eastAsia="zh-CN"/>
              </w:rPr>
              <w:t>5分，不达标不加分。</w:t>
            </w:r>
          </w:p>
        </w:tc>
      </w:tr>
      <w:tr w14:paraId="6C58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CC60FF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创意策划方案</w:t>
            </w:r>
          </w:p>
        </w:tc>
        <w:tc>
          <w:tcPr>
            <w:tcW w:w="2130" w:type="dxa"/>
          </w:tcPr>
          <w:p w14:paraId="24F2792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根据创意构思的原创性、新颖性、主题契合度及与受众的吸引力进行评分</w:t>
            </w:r>
          </w:p>
        </w:tc>
        <w:tc>
          <w:tcPr>
            <w:tcW w:w="2131" w:type="dxa"/>
          </w:tcPr>
          <w:p w14:paraId="5FEBEBD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131" w:type="dxa"/>
          </w:tcPr>
          <w:p w14:paraId="4A724A9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</w:t>
            </w:r>
            <w:r>
              <w:rPr>
                <w:rFonts w:hint="eastAsia"/>
                <w:vertAlign w:val="baseline"/>
              </w:rPr>
              <w:t>创意新颖独特、主题突出、故事情节吸引人、能有效传达宣传信息得11-15分；</w:t>
            </w:r>
            <w:r>
              <w:rPr>
                <w:rFonts w:hint="eastAsia"/>
                <w:vertAlign w:val="baseline"/>
                <w:lang w:val="en-US" w:eastAsia="zh-CN"/>
              </w:rPr>
              <w:t>2.</w:t>
            </w:r>
            <w:r>
              <w:rPr>
                <w:rFonts w:hint="eastAsia"/>
                <w:vertAlign w:val="baseline"/>
              </w:rPr>
              <w:t>创意有一定亮点、主题较明确得6-10分；</w:t>
            </w:r>
            <w:r>
              <w:rPr>
                <w:rFonts w:hint="eastAsia"/>
                <w:vertAlign w:val="baseline"/>
                <w:lang w:val="en-US" w:eastAsia="zh-CN"/>
              </w:rPr>
              <w:t>3.</w:t>
            </w:r>
            <w:r>
              <w:rPr>
                <w:rFonts w:hint="eastAsia"/>
                <w:vertAlign w:val="baseline"/>
              </w:rPr>
              <w:t>创意平庸、缺乏亮点得0-5分。</w:t>
            </w:r>
          </w:p>
        </w:tc>
      </w:tr>
      <w:tr w14:paraId="3EC79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3FA6AD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动画制作方案</w:t>
            </w:r>
          </w:p>
        </w:tc>
        <w:tc>
          <w:tcPr>
            <w:tcW w:w="2130" w:type="dxa"/>
          </w:tcPr>
          <w:p w14:paraId="1ED29DE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根据动画风格设计、画面表现力、分镜脚本质量、整体视听效果等方面评分</w:t>
            </w:r>
          </w:p>
        </w:tc>
        <w:tc>
          <w:tcPr>
            <w:tcW w:w="2131" w:type="dxa"/>
          </w:tcPr>
          <w:p w14:paraId="49CDA29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131" w:type="dxa"/>
          </w:tcPr>
          <w:p w14:paraId="62FF556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</w:t>
            </w:r>
            <w:r>
              <w:rPr>
                <w:rFonts w:hint="eastAsia"/>
                <w:vertAlign w:val="baseline"/>
              </w:rPr>
              <w:t>方案完整、风格鲜明、画面设计精美、分镜逻辑清晰得11-15分；</w:t>
            </w:r>
            <w:r>
              <w:rPr>
                <w:rFonts w:hint="eastAsia"/>
                <w:vertAlign w:val="baseline"/>
                <w:lang w:val="en-US" w:eastAsia="zh-CN"/>
              </w:rPr>
              <w:t>2.</w:t>
            </w:r>
            <w:r>
              <w:rPr>
                <w:rFonts w:hint="eastAsia"/>
                <w:vertAlign w:val="baseline"/>
              </w:rPr>
              <w:t>方案较完整、画面设计一般得6-10分；</w:t>
            </w:r>
            <w:r>
              <w:rPr>
                <w:rFonts w:hint="eastAsia"/>
                <w:vertAlign w:val="baseline"/>
                <w:lang w:val="en-US" w:eastAsia="zh-CN"/>
              </w:rPr>
              <w:t>3.</w:t>
            </w:r>
            <w:r>
              <w:rPr>
                <w:rFonts w:hint="eastAsia"/>
                <w:vertAlign w:val="baseline"/>
              </w:rPr>
              <w:t>方案粗糙、画面质量差得0-5分。</w:t>
            </w:r>
          </w:p>
        </w:tc>
      </w:tr>
      <w:tr w14:paraId="5AAC3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C3BC45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样片演示</w:t>
            </w:r>
          </w:p>
        </w:tc>
        <w:tc>
          <w:tcPr>
            <w:tcW w:w="2130" w:type="dxa"/>
          </w:tcPr>
          <w:p w14:paraId="41D8B8A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投标人提供过往</w:t>
            </w:r>
            <w:r>
              <w:rPr>
                <w:rFonts w:hint="eastAsia"/>
                <w:vertAlign w:val="baseline"/>
                <w:lang w:eastAsia="zh-CN"/>
              </w:rPr>
              <w:t>同类型</w:t>
            </w:r>
            <w:r>
              <w:rPr>
                <w:rFonts w:hint="eastAsia"/>
                <w:vertAlign w:val="baseline"/>
              </w:rPr>
              <w:t>动画作品样片（时长不少于1分钟），根据样片画面质感、动画流畅度、创意水平、配音配乐质量等进行评分</w:t>
            </w:r>
          </w:p>
        </w:tc>
        <w:tc>
          <w:tcPr>
            <w:tcW w:w="2131" w:type="dxa"/>
          </w:tcPr>
          <w:p w14:paraId="1A86654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131" w:type="dxa"/>
          </w:tcPr>
          <w:p w14:paraId="4CB23D0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</w:t>
            </w:r>
            <w:r>
              <w:rPr>
                <w:rFonts w:hint="eastAsia"/>
                <w:vertAlign w:val="baseline"/>
              </w:rPr>
              <w:t>优秀8-10分；</w:t>
            </w:r>
            <w:r>
              <w:rPr>
                <w:rFonts w:hint="eastAsia"/>
                <w:vertAlign w:val="baseline"/>
                <w:lang w:val="en-US" w:eastAsia="zh-CN"/>
              </w:rPr>
              <w:t>2.</w:t>
            </w:r>
            <w:r>
              <w:rPr>
                <w:rFonts w:hint="eastAsia"/>
                <w:vertAlign w:val="baseline"/>
              </w:rPr>
              <w:t>良好5-7分；</w:t>
            </w:r>
            <w:r>
              <w:rPr>
                <w:rFonts w:hint="eastAsia"/>
                <w:vertAlign w:val="baseline"/>
                <w:lang w:val="en-US" w:eastAsia="zh-CN"/>
              </w:rPr>
              <w:t>3.</w:t>
            </w:r>
            <w:r>
              <w:rPr>
                <w:rFonts w:hint="eastAsia"/>
                <w:vertAlign w:val="baseline"/>
              </w:rPr>
              <w:t>一般2-4分；</w:t>
            </w:r>
            <w:r>
              <w:rPr>
                <w:rFonts w:hint="eastAsia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vertAlign w:val="baseline"/>
              </w:rPr>
              <w:t>未提供或质量差得0-1分。</w:t>
            </w:r>
          </w:p>
        </w:tc>
      </w:tr>
      <w:tr w14:paraId="04A03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DC0B071"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报价合理性</w:t>
            </w:r>
          </w:p>
        </w:tc>
        <w:tc>
          <w:tcPr>
            <w:tcW w:w="2130" w:type="dxa"/>
          </w:tcPr>
          <w:p w14:paraId="42ADD88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1.报价在预算范围内且</w:t>
            </w:r>
          </w:p>
          <w:p w14:paraId="43E0847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低于平均报价，得8分;2.报价合理但高于平均报价，按偏离度酌情扣分。</w:t>
            </w:r>
          </w:p>
        </w:tc>
        <w:tc>
          <w:tcPr>
            <w:tcW w:w="2131" w:type="dxa"/>
          </w:tcPr>
          <w:p w14:paraId="40FD233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131" w:type="dxa"/>
          </w:tcPr>
          <w:p w14:paraId="62E18A9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1.报价低于预算且低于平均报价 10%以上得8分，每高出平均报价1%扣0.5分，扣完为止;2.需提供费用明细清单(含内容创作、推广、人力等)，无明细扣3分</w:t>
            </w:r>
          </w:p>
        </w:tc>
      </w:tr>
    </w:tbl>
    <w:p w14:paraId="61F2783D">
      <w:pPr>
        <w:pStyle w:val="2"/>
        <w:ind w:firstLine="480"/>
        <w:rPr>
          <w:rFonts w:ascii="Arial" w:hAnsi="Arial" w:cs="Arial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7C"/>
    <w:rsid w:val="007534D4"/>
    <w:rsid w:val="00B57B22"/>
    <w:rsid w:val="00FE7B7C"/>
    <w:rsid w:val="13B75B10"/>
    <w:rsid w:val="2F9274A1"/>
    <w:rsid w:val="380B3EE2"/>
    <w:rsid w:val="41CC6917"/>
    <w:rsid w:val="7F9C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75" w:after="75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1419</Words>
  <Characters>1509</Characters>
  <Lines>10</Lines>
  <Paragraphs>3</Paragraphs>
  <TotalTime>0</TotalTime>
  <ScaleCrop>false</ScaleCrop>
  <LinksUpToDate>false</LinksUpToDate>
  <CharactersWithSpaces>1517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2025-06-03T08:27:00Z</dcterms:created>
  <dc:creator>gyb1</dc:creator>
  <cp:lastModifiedBy>杜微</cp:lastModifiedBy>
  <dcterms:modified xsi:type="dcterms:W3CDTF">2026-07-27T01:15:29Z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eyJoZGlkIjoiOTBjMjEzYTM0OTA0ZGY4NTBmMmZiZWJjOThlNzhmZmYiLCJ1c2VySWQiOiIyMDI4ODcxMTcifQ==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6E6E24D4DA0245C4B0A0C59698180F7C_13</vt:lpwstr>
  </property>
</Properties>
</file>